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8F6ABC" w14:textId="77777777" w:rsidR="00CA5E8A" w:rsidRDefault="00CA5E8A" w:rsidP="00B80B2C">
      <w:pPr>
        <w:jc w:val="center"/>
        <w:rPr>
          <w:rFonts w:ascii="Times New Roman" w:hAnsi="Times New Roman" w:cs="Times New Roman"/>
          <w:b/>
          <w:sz w:val="32"/>
          <w:lang w:val="en-US"/>
        </w:rPr>
      </w:pPr>
    </w:p>
    <w:p w14:paraId="09A7A99F" w14:textId="5975C83B" w:rsidR="00B80B2C" w:rsidRPr="00B80B2C" w:rsidRDefault="00DA412C" w:rsidP="00B80B2C">
      <w:pPr>
        <w:jc w:val="center"/>
        <w:rPr>
          <w:rFonts w:ascii="Times New Roman" w:hAnsi="Times New Roman" w:cs="Times New Roman"/>
          <w:b/>
          <w:color w:val="FF0000"/>
          <w:sz w:val="32"/>
          <w:lang w:val="en-US"/>
        </w:rPr>
      </w:pPr>
      <w:r w:rsidRPr="00DA412C">
        <w:rPr>
          <w:rFonts w:ascii="Times New Roman" w:hAnsi="Times New Roman" w:cs="Times New Roman"/>
          <w:b/>
          <w:sz w:val="32"/>
          <w:lang w:val="en-US"/>
        </w:rPr>
        <w:t>3D-Printed Dual-Band Antenna Design for ISM Band Biomedical Systems</w:t>
      </w:r>
    </w:p>
    <w:p w14:paraId="0022F05D" w14:textId="68C2F1D0" w:rsidR="00B80B2C" w:rsidRPr="00590211" w:rsidRDefault="00532DF3" w:rsidP="00B80B2C">
      <w:pPr>
        <w:jc w:val="center"/>
        <w:rPr>
          <w:rFonts w:ascii="Times New Roman" w:hAnsi="Times New Roman" w:cs="Times New Roman"/>
          <w:sz w:val="24"/>
          <w:vertAlign w:val="superscript"/>
          <w:lang w:val="en-US"/>
        </w:rPr>
      </w:pPr>
      <w:r>
        <w:rPr>
          <w:rFonts w:ascii="Times New Roman" w:hAnsi="Times New Roman" w:cs="Times New Roman"/>
          <w:sz w:val="24"/>
          <w:lang w:val="en-US"/>
        </w:rPr>
        <w:t>Mehmet Yerlikaya</w:t>
      </w:r>
      <w:r w:rsidR="00B80B2C" w:rsidRPr="00590211">
        <w:rPr>
          <w:rFonts w:ascii="Times New Roman" w:hAnsi="Times New Roman" w:cs="Times New Roman"/>
          <w:sz w:val="24"/>
          <w:vertAlign w:val="superscript"/>
          <w:lang w:val="en-US"/>
        </w:rPr>
        <w:t>*</w:t>
      </w:r>
      <w:r>
        <w:rPr>
          <w:rFonts w:ascii="Times New Roman" w:hAnsi="Times New Roman" w:cs="Times New Roman"/>
          <w:sz w:val="24"/>
          <w:vertAlign w:val="superscript"/>
          <w:lang w:val="en-US"/>
        </w:rPr>
        <w:t>,1</w:t>
      </w:r>
    </w:p>
    <w:p w14:paraId="7CFFE11D" w14:textId="6015E040" w:rsidR="00AB2F38" w:rsidRDefault="00AB2F38" w:rsidP="00AB2F38">
      <w:pPr>
        <w:spacing w:after="0" w:line="240" w:lineRule="auto"/>
        <w:jc w:val="center"/>
        <w:rPr>
          <w:rFonts w:ascii="Times New Roman" w:hAnsi="Times New Roman" w:cs="Times New Roman"/>
          <w:i/>
          <w:sz w:val="20"/>
          <w:lang w:val="en-US"/>
        </w:rPr>
      </w:pPr>
      <w:r w:rsidRPr="00AB2F38">
        <w:rPr>
          <w:rFonts w:ascii="Times New Roman" w:hAnsi="Times New Roman" w:cs="Times New Roman"/>
          <w:i/>
          <w:sz w:val="20"/>
          <w:vertAlign w:val="superscript"/>
          <w:lang w:val="en-US"/>
        </w:rPr>
        <w:t>1</w:t>
      </w:r>
      <w:r w:rsidRPr="00C66488">
        <w:rPr>
          <w:rFonts w:ascii="Times New Roman" w:hAnsi="Times New Roman" w:cs="Times New Roman"/>
          <w:i/>
          <w:sz w:val="20"/>
          <w:lang w:val="en-US"/>
        </w:rPr>
        <w:t>Department</w:t>
      </w:r>
      <w:r>
        <w:rPr>
          <w:rFonts w:ascii="Times New Roman" w:hAnsi="Times New Roman" w:cs="Times New Roman"/>
          <w:i/>
          <w:sz w:val="20"/>
          <w:lang w:val="en-US"/>
        </w:rPr>
        <w:t xml:space="preserve"> of </w:t>
      </w:r>
      <w:r w:rsidRPr="00557ECB">
        <w:rPr>
          <w:rFonts w:ascii="Times New Roman" w:hAnsi="Times New Roman" w:cs="Times New Roman"/>
          <w:i/>
          <w:sz w:val="20"/>
          <w:lang w:val="en-US"/>
        </w:rPr>
        <w:t xml:space="preserve">Airframe and Powerplant Maintenance </w:t>
      </w:r>
      <w:r w:rsidRPr="00C66488">
        <w:rPr>
          <w:rFonts w:ascii="Times New Roman" w:hAnsi="Times New Roman" w:cs="Times New Roman"/>
          <w:i/>
          <w:sz w:val="20"/>
          <w:lang w:val="en-US"/>
        </w:rPr>
        <w:t>/</w:t>
      </w:r>
      <w:r w:rsidRPr="00557ECB">
        <w:t xml:space="preserve"> </w:t>
      </w:r>
      <w:r>
        <w:rPr>
          <w:rFonts w:ascii="Times New Roman" w:hAnsi="Times New Roman" w:cs="Times New Roman"/>
          <w:i/>
          <w:sz w:val="20"/>
          <w:lang w:val="en-US"/>
        </w:rPr>
        <w:t>Sc</w:t>
      </w:r>
      <w:r w:rsidRPr="00557ECB">
        <w:rPr>
          <w:rFonts w:ascii="Times New Roman" w:hAnsi="Times New Roman" w:cs="Times New Roman"/>
          <w:i/>
          <w:sz w:val="20"/>
          <w:lang w:val="en-US"/>
        </w:rPr>
        <w:t xml:space="preserve">hool of </w:t>
      </w:r>
      <w:r>
        <w:rPr>
          <w:rFonts w:ascii="Times New Roman" w:hAnsi="Times New Roman" w:cs="Times New Roman"/>
          <w:i/>
          <w:sz w:val="20"/>
          <w:lang w:val="en-US"/>
        </w:rPr>
        <w:t>C</w:t>
      </w:r>
      <w:r w:rsidRPr="00557ECB">
        <w:rPr>
          <w:rFonts w:ascii="Times New Roman" w:hAnsi="Times New Roman" w:cs="Times New Roman"/>
          <w:i/>
          <w:sz w:val="20"/>
          <w:lang w:val="en-US"/>
        </w:rPr>
        <w:t xml:space="preserve">ivil </w:t>
      </w:r>
      <w:r>
        <w:rPr>
          <w:rFonts w:ascii="Times New Roman" w:hAnsi="Times New Roman" w:cs="Times New Roman"/>
          <w:i/>
          <w:sz w:val="20"/>
          <w:lang w:val="en-US"/>
        </w:rPr>
        <w:t>A</w:t>
      </w:r>
      <w:r w:rsidRPr="00557ECB">
        <w:rPr>
          <w:rFonts w:ascii="Times New Roman" w:hAnsi="Times New Roman" w:cs="Times New Roman"/>
          <w:i/>
          <w:sz w:val="20"/>
          <w:lang w:val="en-US"/>
        </w:rPr>
        <w:t>viation</w:t>
      </w:r>
      <w:r w:rsidRPr="00C66488">
        <w:rPr>
          <w:rFonts w:ascii="Times New Roman" w:hAnsi="Times New Roman" w:cs="Times New Roman"/>
          <w:i/>
          <w:sz w:val="20"/>
          <w:lang w:val="en-US"/>
        </w:rPr>
        <w:t xml:space="preserve">, </w:t>
      </w:r>
      <w:r>
        <w:rPr>
          <w:rFonts w:ascii="Times New Roman" w:hAnsi="Times New Roman" w:cs="Times New Roman"/>
          <w:i/>
          <w:sz w:val="20"/>
          <w:lang w:val="en-US"/>
        </w:rPr>
        <w:t xml:space="preserve">Selcuk </w:t>
      </w:r>
      <w:r w:rsidRPr="00C66488">
        <w:rPr>
          <w:rFonts w:ascii="Times New Roman" w:hAnsi="Times New Roman" w:cs="Times New Roman"/>
          <w:i/>
          <w:sz w:val="20"/>
          <w:lang w:val="en-US"/>
        </w:rPr>
        <w:t xml:space="preserve">University, </w:t>
      </w:r>
      <w:r>
        <w:rPr>
          <w:rFonts w:ascii="Times New Roman" w:hAnsi="Times New Roman" w:cs="Times New Roman"/>
          <w:i/>
          <w:sz w:val="20"/>
          <w:lang w:val="en-US"/>
        </w:rPr>
        <w:t xml:space="preserve">Turkiye </w:t>
      </w:r>
    </w:p>
    <w:p w14:paraId="7F6C2000" w14:textId="77777777" w:rsidR="00AB2F38" w:rsidRDefault="00AB2F38" w:rsidP="00AB2F38">
      <w:pPr>
        <w:spacing w:after="0" w:line="240" w:lineRule="auto"/>
        <w:jc w:val="center"/>
        <w:rPr>
          <w:rFonts w:ascii="Times New Roman" w:hAnsi="Times New Roman" w:cs="Times New Roman"/>
          <w:i/>
          <w:sz w:val="20"/>
          <w:vertAlign w:val="superscript"/>
          <w:lang w:val="en-US"/>
        </w:rPr>
      </w:pPr>
    </w:p>
    <w:p w14:paraId="7214939D" w14:textId="77777777" w:rsidR="00AB2F38" w:rsidRPr="00C66488" w:rsidRDefault="00AB2F38" w:rsidP="00AB2F38">
      <w:pPr>
        <w:spacing w:after="0" w:line="240" w:lineRule="auto"/>
        <w:jc w:val="center"/>
        <w:rPr>
          <w:rFonts w:ascii="Times New Roman" w:hAnsi="Times New Roman" w:cs="Times New Roman"/>
          <w:i/>
          <w:sz w:val="20"/>
          <w:lang w:val="en-US"/>
        </w:rPr>
      </w:pPr>
      <w:r w:rsidRPr="00C66488">
        <w:rPr>
          <w:rFonts w:ascii="Times New Roman" w:hAnsi="Times New Roman" w:cs="Times New Roman"/>
          <w:i/>
          <w:sz w:val="20"/>
          <w:vertAlign w:val="superscript"/>
          <w:lang w:val="en-US"/>
        </w:rPr>
        <w:t>*</w:t>
      </w:r>
      <w:r w:rsidRPr="00C66488">
        <w:rPr>
          <w:rFonts w:ascii="Times New Roman" w:hAnsi="Times New Roman" w:cs="Times New Roman"/>
          <w:i/>
          <w:sz w:val="20"/>
          <w:lang w:val="en-US"/>
        </w:rPr>
        <w:t>(</w:t>
      </w:r>
      <w:r>
        <w:rPr>
          <w:rFonts w:ascii="Times New Roman" w:hAnsi="Times New Roman" w:cs="Times New Roman"/>
          <w:i/>
          <w:sz w:val="20"/>
          <w:lang w:val="en-US"/>
        </w:rPr>
        <w:t>mehmet.yerlikaya</w:t>
      </w:r>
      <w:r w:rsidRPr="00C66488">
        <w:rPr>
          <w:rFonts w:ascii="Times New Roman" w:hAnsi="Times New Roman" w:cs="Times New Roman"/>
          <w:i/>
          <w:sz w:val="20"/>
          <w:lang w:val="en-US"/>
        </w:rPr>
        <w:t>@</w:t>
      </w:r>
      <w:r>
        <w:rPr>
          <w:rFonts w:ascii="Times New Roman" w:hAnsi="Times New Roman" w:cs="Times New Roman"/>
          <w:i/>
          <w:sz w:val="20"/>
          <w:lang w:val="en-US"/>
        </w:rPr>
        <w:t>selcuk.edu.tr</w:t>
      </w:r>
      <w:r w:rsidRPr="00C66488">
        <w:rPr>
          <w:rFonts w:ascii="Times New Roman" w:hAnsi="Times New Roman" w:cs="Times New Roman"/>
          <w:i/>
          <w:sz w:val="20"/>
          <w:lang w:val="en-US"/>
        </w:rPr>
        <w:t>)</w:t>
      </w:r>
    </w:p>
    <w:p w14:paraId="36BF49EF" w14:textId="77777777" w:rsidR="00CA5E8A" w:rsidRDefault="00CA5E8A" w:rsidP="00CA5E8A">
      <w:pPr>
        <w:widowControl w:val="0"/>
        <w:autoSpaceDE w:val="0"/>
        <w:autoSpaceDN w:val="0"/>
        <w:spacing w:after="0" w:line="240" w:lineRule="auto"/>
        <w:jc w:val="center"/>
        <w:rPr>
          <w:rFonts w:ascii="Times New Roman" w:eastAsia="Times New Roman" w:hAnsi="Times New Roman" w:cs="Times New Roman"/>
          <w:i/>
          <w:sz w:val="20"/>
          <w:szCs w:val="20"/>
          <w:lang w:eastAsia="tr-TR" w:bidi="tr-TR"/>
        </w:rPr>
      </w:pPr>
    </w:p>
    <w:p w14:paraId="41A597E8" w14:textId="719686D3" w:rsidR="00CA5E8A" w:rsidRPr="00CA5E8A" w:rsidRDefault="00CA5E8A" w:rsidP="00CA5E8A">
      <w:pPr>
        <w:widowControl w:val="0"/>
        <w:autoSpaceDE w:val="0"/>
        <w:autoSpaceDN w:val="0"/>
        <w:spacing w:after="0" w:line="240" w:lineRule="auto"/>
        <w:jc w:val="center"/>
        <w:rPr>
          <w:rFonts w:ascii="Times New Roman" w:eastAsia="Times New Roman" w:hAnsi="Times New Roman" w:cs="Times New Roman"/>
          <w:i/>
          <w:sz w:val="20"/>
          <w:szCs w:val="20"/>
          <w:lang w:eastAsia="tr-TR" w:bidi="tr-TR"/>
        </w:rPr>
      </w:pPr>
      <w:r w:rsidRPr="00CA5E8A">
        <w:rPr>
          <w:rFonts w:ascii="Times New Roman" w:eastAsia="Times New Roman" w:hAnsi="Times New Roman" w:cs="Times New Roman"/>
          <w:i/>
          <w:sz w:val="20"/>
          <w:szCs w:val="20"/>
          <w:lang w:eastAsia="tr-TR" w:bidi="tr-TR"/>
        </w:rPr>
        <w:t>(Received: 12 December 2024, Accepted: 17 December 2024)</w:t>
      </w:r>
    </w:p>
    <w:p w14:paraId="08C163C5" w14:textId="77777777" w:rsidR="00CA5E8A" w:rsidRPr="00CA5E8A" w:rsidRDefault="00CA5E8A" w:rsidP="00CA5E8A">
      <w:pPr>
        <w:widowControl w:val="0"/>
        <w:autoSpaceDE w:val="0"/>
        <w:autoSpaceDN w:val="0"/>
        <w:spacing w:before="120" w:after="0" w:line="240" w:lineRule="auto"/>
        <w:jc w:val="center"/>
        <w:rPr>
          <w:rFonts w:ascii="Times New Roman" w:eastAsia="Times New Roman" w:hAnsi="Times New Roman" w:cs="Times New Roman"/>
          <w:sz w:val="20"/>
          <w:szCs w:val="24"/>
          <w:lang w:val="en-US" w:eastAsia="tr-TR" w:bidi="tr-TR"/>
        </w:rPr>
      </w:pPr>
      <w:r w:rsidRPr="00CA5E8A">
        <w:rPr>
          <w:rFonts w:ascii="Times New Roman" w:eastAsia="Times New Roman" w:hAnsi="Times New Roman" w:cs="Times New Roman"/>
          <w:sz w:val="20"/>
          <w:szCs w:val="24"/>
          <w:lang w:val="en-US" w:eastAsia="tr-TR" w:bidi="tr-TR"/>
        </w:rPr>
        <w:t>(4th International Conference on Frontiers in Academic Research ICFAR 2024, December 13-14, 2024)</w:t>
      </w:r>
    </w:p>
    <w:p w14:paraId="7E1D30CA" w14:textId="77777777" w:rsidR="00CA5E8A" w:rsidRPr="00CA5E8A" w:rsidRDefault="00CA5E8A" w:rsidP="00CA5E8A">
      <w:pPr>
        <w:widowControl w:val="0"/>
        <w:autoSpaceDE w:val="0"/>
        <w:autoSpaceDN w:val="0"/>
        <w:spacing w:before="10" w:after="0" w:line="240" w:lineRule="auto"/>
        <w:rPr>
          <w:rFonts w:ascii="Times New Roman" w:eastAsia="Times New Roman" w:hAnsi="Times New Roman" w:cs="Times New Roman"/>
          <w:sz w:val="21"/>
          <w:szCs w:val="24"/>
          <w:lang w:val="en-US" w:eastAsia="tr-TR" w:bidi="tr-TR"/>
        </w:rPr>
      </w:pPr>
    </w:p>
    <w:p w14:paraId="40E5A660" w14:textId="050BF02D" w:rsidR="00CA5E8A" w:rsidRPr="00CA5E8A" w:rsidRDefault="00CA5E8A" w:rsidP="00CA5E8A">
      <w:pPr>
        <w:widowControl w:val="0"/>
        <w:autoSpaceDE w:val="0"/>
        <w:autoSpaceDN w:val="0"/>
        <w:spacing w:before="1" w:after="0" w:line="240" w:lineRule="auto"/>
        <w:jc w:val="both"/>
        <w:rPr>
          <w:rFonts w:ascii="Times New Roman" w:eastAsia="Times New Roman" w:hAnsi="Times New Roman" w:cs="Times New Roman"/>
          <w:b/>
          <w:sz w:val="20"/>
          <w:szCs w:val="24"/>
          <w:lang w:val="en-US" w:eastAsia="tr-TR" w:bidi="tr-TR"/>
        </w:rPr>
      </w:pPr>
      <w:r w:rsidRPr="00CA5E8A">
        <w:rPr>
          <w:rFonts w:ascii="Times New Roman" w:eastAsia="Times New Roman" w:hAnsi="Times New Roman" w:cs="Times New Roman"/>
          <w:b/>
          <w:sz w:val="20"/>
          <w:szCs w:val="24"/>
          <w:lang w:val="en-US" w:eastAsia="tr-TR" w:bidi="tr-TR"/>
        </w:rPr>
        <w:t xml:space="preserve">ATIF/REFERENCE: </w:t>
      </w:r>
      <w:r>
        <w:rPr>
          <w:rFonts w:ascii="Times New Roman" w:eastAsia="Times New Roman" w:hAnsi="Times New Roman" w:cs="Times New Roman"/>
          <w:sz w:val="20"/>
          <w:szCs w:val="24"/>
          <w:lang w:val="en-US" w:eastAsia="tr-TR" w:bidi="tr-TR"/>
        </w:rPr>
        <w:t xml:space="preserve">Yerlikaya, M. </w:t>
      </w:r>
      <w:r w:rsidRPr="00CA5E8A">
        <w:rPr>
          <w:rFonts w:ascii="Times New Roman" w:eastAsia="Times New Roman" w:hAnsi="Times New Roman" w:cs="Times New Roman"/>
          <w:sz w:val="20"/>
          <w:szCs w:val="24"/>
          <w:lang w:val="en-US" w:eastAsia="tr-TR" w:bidi="tr-TR"/>
        </w:rPr>
        <w:t xml:space="preserve">(2024). </w:t>
      </w:r>
      <w:r w:rsidRPr="00CA5E8A">
        <w:rPr>
          <w:rFonts w:ascii="Times New Roman" w:eastAsia="Times New Roman" w:hAnsi="Times New Roman" w:cs="Times New Roman"/>
          <w:bCs/>
          <w:sz w:val="20"/>
          <w:szCs w:val="24"/>
          <w:lang w:val="en-US" w:eastAsia="tr-TR" w:bidi="tr-TR"/>
        </w:rPr>
        <w:t>3D-Printed Dual-Band Antenna Design for ISM Band Biomedical Systems</w:t>
      </w:r>
      <w:r w:rsidRPr="00CA5E8A">
        <w:rPr>
          <w:rFonts w:ascii="Times New Roman" w:eastAsia="Times New Roman" w:hAnsi="Times New Roman" w:cs="Times New Roman"/>
          <w:sz w:val="20"/>
          <w:szCs w:val="24"/>
          <w:lang w:val="en-US" w:eastAsia="tr-TR" w:bidi="tr-TR"/>
        </w:rPr>
        <w:t xml:space="preserve">. </w:t>
      </w:r>
      <w:r w:rsidRPr="00CA5E8A">
        <w:rPr>
          <w:rFonts w:ascii="Times New Roman" w:eastAsia="Times New Roman" w:hAnsi="Times New Roman" w:cs="Times New Roman"/>
          <w:i/>
          <w:sz w:val="20"/>
          <w:szCs w:val="24"/>
          <w:lang w:val="en-US" w:eastAsia="tr-TR" w:bidi="tr-TR"/>
        </w:rPr>
        <w:t>International Journal of Advanced Natural Sciences and Engineering Researches</w:t>
      </w:r>
      <w:r w:rsidRPr="00CA5E8A">
        <w:rPr>
          <w:rFonts w:ascii="Times New Roman" w:eastAsia="Times New Roman" w:hAnsi="Times New Roman" w:cs="Times New Roman"/>
          <w:sz w:val="20"/>
          <w:szCs w:val="24"/>
          <w:lang w:val="en-US" w:eastAsia="tr-TR" w:bidi="tr-TR"/>
        </w:rPr>
        <w:t xml:space="preserve">, </w:t>
      </w:r>
      <w:r w:rsidRPr="00CA5E8A">
        <w:rPr>
          <w:rFonts w:ascii="Times New Roman" w:eastAsia="Times New Roman" w:hAnsi="Times New Roman" w:cs="Times New Roman"/>
          <w:sz w:val="20"/>
          <w:szCs w:val="24"/>
          <w:lang w:eastAsia="tr-TR" w:bidi="tr-TR"/>
        </w:rPr>
        <w:t>8(11), 4</w:t>
      </w:r>
      <w:r>
        <w:rPr>
          <w:rFonts w:ascii="Times New Roman" w:eastAsia="Times New Roman" w:hAnsi="Times New Roman" w:cs="Times New Roman"/>
          <w:sz w:val="20"/>
          <w:szCs w:val="24"/>
          <w:lang w:eastAsia="tr-TR" w:bidi="tr-TR"/>
        </w:rPr>
        <w:t>65</w:t>
      </w:r>
      <w:r w:rsidRPr="00CA5E8A">
        <w:rPr>
          <w:rFonts w:ascii="Times New Roman" w:eastAsia="Times New Roman" w:hAnsi="Times New Roman" w:cs="Times New Roman"/>
          <w:sz w:val="20"/>
          <w:szCs w:val="24"/>
          <w:lang w:eastAsia="tr-TR" w:bidi="tr-TR"/>
        </w:rPr>
        <w:t>-4</w:t>
      </w:r>
      <w:r>
        <w:rPr>
          <w:rFonts w:ascii="Times New Roman" w:eastAsia="Times New Roman" w:hAnsi="Times New Roman" w:cs="Times New Roman"/>
          <w:sz w:val="20"/>
          <w:szCs w:val="24"/>
          <w:lang w:eastAsia="tr-TR" w:bidi="tr-TR"/>
        </w:rPr>
        <w:t>72</w:t>
      </w:r>
      <w:r w:rsidRPr="00CA5E8A">
        <w:rPr>
          <w:rFonts w:ascii="Times New Roman" w:eastAsia="Times New Roman" w:hAnsi="Times New Roman" w:cs="Times New Roman"/>
          <w:sz w:val="20"/>
          <w:szCs w:val="24"/>
          <w:lang w:eastAsia="tr-TR" w:bidi="tr-TR"/>
        </w:rPr>
        <w:t>.</w:t>
      </w:r>
    </w:p>
    <w:p w14:paraId="20340F08" w14:textId="77777777" w:rsidR="00B80B2C" w:rsidRPr="00C66488" w:rsidRDefault="00B80B2C" w:rsidP="00B80B2C">
      <w:pPr>
        <w:spacing w:after="0" w:line="240" w:lineRule="auto"/>
        <w:jc w:val="both"/>
        <w:rPr>
          <w:rFonts w:ascii="Times New Roman" w:hAnsi="Times New Roman" w:cs="Times New Roman"/>
          <w:b/>
          <w:i/>
          <w:lang w:val="en-US"/>
        </w:rPr>
      </w:pPr>
    </w:p>
    <w:p w14:paraId="08315BB5" w14:textId="05E6E41C" w:rsidR="00B80B2C" w:rsidRPr="00CA5E8A" w:rsidRDefault="00B80B2C" w:rsidP="007D1C7F">
      <w:pPr>
        <w:spacing w:after="0" w:line="240" w:lineRule="auto"/>
        <w:jc w:val="both"/>
        <w:rPr>
          <w:rFonts w:ascii="Times New Roman" w:hAnsi="Times New Roman" w:cs="Times New Roman"/>
          <w:sz w:val="24"/>
          <w:szCs w:val="24"/>
          <w:lang w:val="en-US"/>
        </w:rPr>
      </w:pPr>
      <w:r w:rsidRPr="00CA5E8A">
        <w:rPr>
          <w:rFonts w:ascii="Times New Roman" w:hAnsi="Times New Roman" w:cs="Times New Roman"/>
          <w:b/>
          <w:i/>
          <w:sz w:val="24"/>
          <w:szCs w:val="24"/>
          <w:lang w:val="en-US"/>
        </w:rPr>
        <w:t>Abstract –</w:t>
      </w:r>
      <w:r w:rsidRPr="00CA5E8A">
        <w:rPr>
          <w:rFonts w:ascii="Times New Roman" w:hAnsi="Times New Roman" w:cs="Times New Roman"/>
          <w:sz w:val="24"/>
          <w:szCs w:val="24"/>
          <w:lang w:val="en-US"/>
        </w:rPr>
        <w:t xml:space="preserve"> </w:t>
      </w:r>
      <w:r w:rsidR="00A53D28" w:rsidRPr="00CA5E8A">
        <w:rPr>
          <w:rFonts w:ascii="Times New Roman" w:hAnsi="Times New Roman" w:cs="Times New Roman"/>
          <w:sz w:val="24"/>
          <w:szCs w:val="24"/>
          <w:lang w:val="en-US"/>
        </w:rPr>
        <w:t>This study presents the development, fabrication, and evaluation of a dual-band biomedical antenna designed for operation at 2.45 GHz and 5.8 GHz within the ISM bands. The antenna is produced using 3D printing technology, employing PLA material known for its biocompatibility, lightweight characteristics, and ease of fabrication. With overall dimensions of 35×35×1.7 mm³, the rectangular patch design is compact and ideal for biomedical applications such as wearable and implantable systems. To enhance performance, a microstrip line with inset feeding is incorporated, ensuring efficient power</w:t>
      </w:r>
      <w:r w:rsidR="00CC156A" w:rsidRPr="00CA5E8A">
        <w:rPr>
          <w:rFonts w:ascii="Times New Roman" w:hAnsi="Times New Roman" w:cs="Times New Roman"/>
          <w:sz w:val="24"/>
          <w:szCs w:val="24"/>
          <w:lang w:val="en-US"/>
        </w:rPr>
        <w:t xml:space="preserve"> transfer and impedance match</w:t>
      </w:r>
      <w:r w:rsidR="00A53D28" w:rsidRPr="00CA5E8A">
        <w:rPr>
          <w:rFonts w:ascii="Times New Roman" w:hAnsi="Times New Roman" w:cs="Times New Roman"/>
          <w:sz w:val="24"/>
          <w:szCs w:val="24"/>
          <w:lang w:val="en-US"/>
        </w:rPr>
        <w:t xml:space="preserve"> </w:t>
      </w:r>
      <w:r w:rsidR="00CC156A" w:rsidRPr="00CA5E8A">
        <w:rPr>
          <w:rFonts w:ascii="Times New Roman" w:hAnsi="Times New Roman" w:cs="Times New Roman"/>
          <w:sz w:val="24"/>
          <w:szCs w:val="24"/>
          <w:lang w:val="en-US"/>
        </w:rPr>
        <w:t xml:space="preserve">over </w:t>
      </w:r>
      <w:r w:rsidR="00A53D28" w:rsidRPr="00CA5E8A">
        <w:rPr>
          <w:rFonts w:ascii="Times New Roman" w:hAnsi="Times New Roman" w:cs="Times New Roman"/>
          <w:sz w:val="24"/>
          <w:szCs w:val="24"/>
          <w:lang w:val="en-US"/>
        </w:rPr>
        <w:t xml:space="preserve">the </w:t>
      </w:r>
      <w:r w:rsidR="00CC156A" w:rsidRPr="00CA5E8A">
        <w:rPr>
          <w:rFonts w:ascii="Times New Roman" w:hAnsi="Times New Roman" w:cs="Times New Roman"/>
          <w:sz w:val="24"/>
          <w:szCs w:val="24"/>
          <w:lang w:val="en-US"/>
        </w:rPr>
        <w:t>selected</w:t>
      </w:r>
      <w:r w:rsidR="00A53D28" w:rsidRPr="00CA5E8A">
        <w:rPr>
          <w:rFonts w:ascii="Times New Roman" w:hAnsi="Times New Roman" w:cs="Times New Roman"/>
          <w:sz w:val="24"/>
          <w:szCs w:val="24"/>
          <w:lang w:val="en-US"/>
        </w:rPr>
        <w:t xml:space="preserve"> bands. Detailed analyses are conducted to assess the radiation </w:t>
      </w:r>
      <w:r w:rsidR="00CC156A" w:rsidRPr="00CA5E8A">
        <w:rPr>
          <w:rFonts w:ascii="Times New Roman" w:hAnsi="Times New Roman" w:cs="Times New Roman"/>
          <w:sz w:val="24"/>
          <w:szCs w:val="24"/>
          <w:lang w:val="en-US"/>
        </w:rPr>
        <w:t>behaviors of the antenna</w:t>
      </w:r>
      <w:r w:rsidR="00A53D28" w:rsidRPr="00CA5E8A">
        <w:rPr>
          <w:rFonts w:ascii="Times New Roman" w:hAnsi="Times New Roman" w:cs="Times New Roman"/>
          <w:sz w:val="24"/>
          <w:szCs w:val="24"/>
          <w:lang w:val="en-US"/>
        </w:rPr>
        <w:t xml:space="preserve">, including bandwidth, gain, and efficiency. Additionally, </w:t>
      </w:r>
      <w:r w:rsidR="00CC156A" w:rsidRPr="00CA5E8A">
        <w:rPr>
          <w:rFonts w:ascii="Times New Roman" w:hAnsi="Times New Roman" w:cs="Times New Roman"/>
          <w:sz w:val="24"/>
          <w:szCs w:val="24"/>
          <w:lang w:val="en-US"/>
        </w:rPr>
        <w:t>SAR</w:t>
      </w:r>
      <w:r w:rsidR="00A53D28" w:rsidRPr="00CA5E8A">
        <w:rPr>
          <w:rFonts w:ascii="Times New Roman" w:hAnsi="Times New Roman" w:cs="Times New Roman"/>
          <w:sz w:val="24"/>
          <w:szCs w:val="24"/>
          <w:lang w:val="en-US"/>
        </w:rPr>
        <w:t xml:space="preserve"> simulations evaluate the </w:t>
      </w:r>
      <w:r w:rsidR="00CC156A" w:rsidRPr="00CA5E8A">
        <w:rPr>
          <w:rFonts w:ascii="Times New Roman" w:hAnsi="Times New Roman" w:cs="Times New Roman"/>
          <w:sz w:val="24"/>
          <w:szCs w:val="24"/>
          <w:lang w:val="en-US"/>
        </w:rPr>
        <w:t>safety of antenna</w:t>
      </w:r>
      <w:r w:rsidR="00A53D28" w:rsidRPr="00CA5E8A">
        <w:rPr>
          <w:rFonts w:ascii="Times New Roman" w:hAnsi="Times New Roman" w:cs="Times New Roman"/>
          <w:sz w:val="24"/>
          <w:szCs w:val="24"/>
          <w:lang w:val="en-US"/>
        </w:rPr>
        <w:t xml:space="preserve"> for use near the human body, confirming compliance with international health standards. The SAR analysis demonstrates that the antenna performs safely under standard usage conditions. Experimental results align closely with simulations, validating the antenna's dual-band functionality and effectiveness. This work </w:t>
      </w:r>
      <w:r w:rsidR="00CC156A" w:rsidRPr="00CA5E8A">
        <w:rPr>
          <w:rFonts w:ascii="Times New Roman" w:hAnsi="Times New Roman" w:cs="Times New Roman"/>
          <w:sz w:val="24"/>
          <w:szCs w:val="24"/>
          <w:lang w:val="en-US"/>
        </w:rPr>
        <w:t xml:space="preserve">emphasizes the capacity </w:t>
      </w:r>
      <w:r w:rsidR="00A53D28" w:rsidRPr="00CA5E8A">
        <w:rPr>
          <w:rFonts w:ascii="Times New Roman" w:hAnsi="Times New Roman" w:cs="Times New Roman"/>
          <w:sz w:val="24"/>
          <w:szCs w:val="24"/>
          <w:lang w:val="en-US"/>
        </w:rPr>
        <w:t>of 3D printing as a cost-efficient and adaptable method for producing innovative biomedical devices, particularly for wireless communication in healthcare systems.</w:t>
      </w:r>
    </w:p>
    <w:p w14:paraId="6897F243" w14:textId="77777777" w:rsidR="00B80B2C" w:rsidRPr="00B80B2C" w:rsidRDefault="00B80B2C" w:rsidP="00B80B2C">
      <w:pPr>
        <w:spacing w:after="0"/>
        <w:jc w:val="both"/>
        <w:rPr>
          <w:rFonts w:ascii="Times New Roman" w:hAnsi="Times New Roman" w:cs="Times New Roman"/>
          <w:lang w:val="en-US"/>
        </w:rPr>
      </w:pPr>
    </w:p>
    <w:p w14:paraId="2835E76E" w14:textId="3C1F6262" w:rsidR="00212D0B" w:rsidRPr="00AB2F38" w:rsidRDefault="00B80B2C" w:rsidP="00E547B8">
      <w:pPr>
        <w:pBdr>
          <w:bottom w:val="single" w:sz="4" w:space="1" w:color="auto"/>
        </w:pBdr>
        <w:spacing w:after="0"/>
        <w:rPr>
          <w:rFonts w:ascii="Times New Roman" w:hAnsi="Times New Roman" w:cs="Times New Roman"/>
          <w:i/>
          <w:sz w:val="20"/>
          <w:lang w:val="en-US"/>
        </w:rPr>
      </w:pPr>
      <w:r w:rsidRPr="00B80B2C">
        <w:rPr>
          <w:rFonts w:ascii="Times New Roman" w:hAnsi="Times New Roman" w:cs="Times New Roman"/>
          <w:i/>
          <w:sz w:val="20"/>
          <w:lang w:val="en-US"/>
        </w:rPr>
        <w:t xml:space="preserve">Keywords </w:t>
      </w:r>
      <w:r w:rsidR="00CA5E8A" w:rsidRPr="00B80B2C">
        <w:rPr>
          <w:rFonts w:ascii="Times New Roman" w:hAnsi="Times New Roman" w:cs="Times New Roman"/>
          <w:i/>
          <w:sz w:val="20"/>
          <w:lang w:val="en-US"/>
        </w:rPr>
        <w:t>–</w:t>
      </w:r>
      <w:r w:rsidR="00CA5E8A" w:rsidRPr="00B80B2C">
        <w:rPr>
          <w:rFonts w:ascii="Times New Roman" w:hAnsi="Times New Roman" w:cs="Times New Roman"/>
          <w:sz w:val="20"/>
          <w:lang w:val="en-US"/>
        </w:rPr>
        <w:t xml:space="preserve"> </w:t>
      </w:r>
      <w:r w:rsidR="00AB2F38">
        <w:rPr>
          <w:rFonts w:ascii="Times New Roman" w:hAnsi="Times New Roman" w:cs="Times New Roman"/>
          <w:i/>
          <w:sz w:val="20"/>
          <w:lang w:val="en-US"/>
        </w:rPr>
        <w:t>Dual</w:t>
      </w:r>
      <w:r w:rsidR="00CA5E8A">
        <w:rPr>
          <w:rFonts w:ascii="Times New Roman" w:hAnsi="Times New Roman" w:cs="Times New Roman"/>
          <w:i/>
          <w:sz w:val="20"/>
          <w:lang w:val="en-US"/>
        </w:rPr>
        <w:t xml:space="preserve">-Band Antenna, </w:t>
      </w:r>
      <w:r w:rsidR="00AB2F38">
        <w:rPr>
          <w:rFonts w:ascii="Times New Roman" w:hAnsi="Times New Roman" w:cs="Times New Roman"/>
          <w:i/>
          <w:sz w:val="20"/>
          <w:lang w:val="en-US"/>
        </w:rPr>
        <w:t xml:space="preserve">3D </w:t>
      </w:r>
      <w:r w:rsidR="00CA5E8A">
        <w:rPr>
          <w:rFonts w:ascii="Times New Roman" w:hAnsi="Times New Roman" w:cs="Times New Roman"/>
          <w:i/>
          <w:sz w:val="20"/>
          <w:lang w:val="en-US"/>
        </w:rPr>
        <w:t xml:space="preserve">Printing, </w:t>
      </w:r>
      <w:r w:rsidR="00AB2F38">
        <w:rPr>
          <w:rFonts w:ascii="Times New Roman" w:hAnsi="Times New Roman" w:cs="Times New Roman"/>
          <w:i/>
          <w:sz w:val="20"/>
          <w:lang w:val="en-US"/>
        </w:rPr>
        <w:t>PLA</w:t>
      </w:r>
      <w:r w:rsidR="00CA5E8A">
        <w:rPr>
          <w:rFonts w:ascii="Times New Roman" w:hAnsi="Times New Roman" w:cs="Times New Roman"/>
          <w:i/>
          <w:sz w:val="20"/>
          <w:lang w:val="en-US"/>
        </w:rPr>
        <w:t xml:space="preserve">, </w:t>
      </w:r>
      <w:r w:rsidR="00AB2F38">
        <w:rPr>
          <w:rFonts w:ascii="Times New Roman" w:hAnsi="Times New Roman" w:cs="Times New Roman"/>
          <w:i/>
          <w:sz w:val="20"/>
          <w:lang w:val="en-US"/>
        </w:rPr>
        <w:t>SAR</w:t>
      </w:r>
      <w:r w:rsidR="00CA5E8A">
        <w:rPr>
          <w:rFonts w:ascii="Times New Roman" w:hAnsi="Times New Roman" w:cs="Times New Roman"/>
          <w:i/>
          <w:sz w:val="20"/>
          <w:lang w:val="en-US"/>
        </w:rPr>
        <w:t xml:space="preserve">, </w:t>
      </w:r>
      <w:r w:rsidR="00AB2F38">
        <w:rPr>
          <w:rFonts w:ascii="Times New Roman" w:hAnsi="Times New Roman" w:cs="Times New Roman"/>
          <w:i/>
          <w:sz w:val="20"/>
          <w:lang w:val="en-US"/>
        </w:rPr>
        <w:t>ISM</w:t>
      </w:r>
      <w:r w:rsidR="009F5E04">
        <w:rPr>
          <w:rFonts w:ascii="Times New Roman" w:hAnsi="Times New Roman" w:cs="Times New Roman"/>
          <w:i/>
          <w:sz w:val="20"/>
          <w:lang w:val="en-US"/>
        </w:rPr>
        <w:t xml:space="preserve"> </w:t>
      </w:r>
      <w:r w:rsidR="00CA5E8A">
        <w:rPr>
          <w:rFonts w:ascii="Times New Roman" w:hAnsi="Times New Roman" w:cs="Times New Roman"/>
          <w:i/>
          <w:sz w:val="20"/>
          <w:lang w:val="en-US"/>
        </w:rPr>
        <w:t>Bands, Biomedical.</w:t>
      </w:r>
    </w:p>
    <w:p w14:paraId="36FC40CD" w14:textId="77777777" w:rsidR="00B80B2C" w:rsidRPr="00B80B2C" w:rsidRDefault="00B80B2C" w:rsidP="00B80B2C">
      <w:pPr>
        <w:spacing w:after="0"/>
        <w:rPr>
          <w:rFonts w:ascii="Times New Roman" w:hAnsi="Times New Roman" w:cs="Times New Roman"/>
          <w:sz w:val="20"/>
          <w:lang w:val="en-US"/>
        </w:rPr>
      </w:pPr>
    </w:p>
    <w:p w14:paraId="064ECA26" w14:textId="77777777" w:rsidR="007F7949" w:rsidRDefault="007F7949" w:rsidP="00B80B2C">
      <w:pPr>
        <w:rPr>
          <w:rFonts w:ascii="Times New Roman" w:hAnsi="Times New Roman" w:cs="Times New Roman"/>
          <w:lang w:val="en-US"/>
        </w:rPr>
        <w:sectPr w:rsidR="007F7949" w:rsidSect="00CA5E8A">
          <w:headerReference w:type="default" r:id="rId7"/>
          <w:footerReference w:type="default" r:id="rId8"/>
          <w:headerReference w:type="first" r:id="rId9"/>
          <w:footerReference w:type="first" r:id="rId10"/>
          <w:pgSz w:w="11907" w:h="16840" w:code="9"/>
          <w:pgMar w:top="1373" w:right="851" w:bottom="851" w:left="851" w:header="709" w:footer="709" w:gutter="0"/>
          <w:pgNumType w:start="465"/>
          <w:cols w:space="708"/>
          <w:titlePg/>
          <w:docGrid w:linePitch="360"/>
        </w:sectPr>
      </w:pPr>
    </w:p>
    <w:p w14:paraId="17ADC6D5" w14:textId="059E1851" w:rsidR="007F7949" w:rsidRPr="00093B1D" w:rsidRDefault="00CA5E8A" w:rsidP="00C66488">
      <w:pPr>
        <w:pStyle w:val="IEEEHeading1"/>
        <w:jc w:val="left"/>
        <w:rPr>
          <w:sz w:val="24"/>
          <w:lang w:val="en-US"/>
        </w:rPr>
      </w:pPr>
      <w:r w:rsidRPr="00093B1D">
        <w:rPr>
          <w:sz w:val="24"/>
          <w:lang w:val="en-US"/>
        </w:rPr>
        <w:t>INTRODUCTION</w:t>
      </w:r>
    </w:p>
    <w:p w14:paraId="46DC5A61" w14:textId="77777777" w:rsidR="008D3397" w:rsidRDefault="008D3397" w:rsidP="00191C50">
      <w:pPr>
        <w:pStyle w:val="IEEEParagraph"/>
        <w:ind w:firstLine="170"/>
        <w:rPr>
          <w:sz w:val="24"/>
          <w:lang w:val="en-US"/>
        </w:rPr>
      </w:pPr>
    </w:p>
    <w:p w14:paraId="542752E0" w14:textId="37A9780B" w:rsidR="00A30254" w:rsidRPr="00A30254" w:rsidRDefault="00A53D28" w:rsidP="00A30254">
      <w:pPr>
        <w:pStyle w:val="IEEEParagraph"/>
        <w:ind w:firstLine="170"/>
        <w:rPr>
          <w:sz w:val="24"/>
          <w:lang w:val="en-US"/>
        </w:rPr>
      </w:pPr>
      <w:r w:rsidRPr="00A53D28">
        <w:rPr>
          <w:sz w:val="24"/>
          <w:lang w:val="en-US"/>
        </w:rPr>
        <w:t>Wireless communication systems have become integral to modern technology, significantly influencing various aspects of daily life. Among these, the Wireless Body Area Network (WBAN) has emerged as a rapidly expanding domain within wearable technology, offering applications in healthcare, fitness, defense, public safety, and personal communication. Antennas serve as essential components in ensuring stable and efficient communication between wearable devices and external systems like smartphones or medical monitoring equipment</w:t>
      </w:r>
      <w:r>
        <w:rPr>
          <w:sz w:val="24"/>
          <w:lang w:val="en-US"/>
        </w:rPr>
        <w:t xml:space="preserve"> </w:t>
      </w:r>
      <w:r w:rsidR="00BB17CB">
        <w:rPr>
          <w:sz w:val="24"/>
          <w:lang w:val="en-US"/>
        </w:rPr>
        <w:fldChar w:fldCharType="begin"/>
      </w:r>
      <w:r w:rsidR="009C0A65">
        <w:rPr>
          <w:sz w:val="24"/>
          <w:lang w:val="en-US"/>
        </w:rPr>
        <w:instrText xml:space="preserve"> ADDIN EN.CITE &lt;EndNote&gt;&lt;Cite&gt;&lt;Author&gt;Fahmy&lt;/Author&gt;&lt;Year&gt;2016&lt;/Year&gt;&lt;RecNum&gt;4&lt;/RecNum&gt;&lt;DisplayText&gt;[1, 2]&lt;/DisplayText&gt;&lt;record&gt;&lt;rec-number&gt;4&lt;/rec-number&gt;&lt;foreign-keys&gt;&lt;key app="EN" db-id="x09rref955pwziett20vds0merwawtxseszv" timestamp="1733817777"&gt;4&lt;/key&gt;&lt;/foreign-keys&gt;&lt;ref-type name="Book"&gt;6&lt;/ref-type&gt;&lt;contributors&gt;&lt;authors&gt;&lt;author&gt;Fahmy, Hossam Mahmoud Ahmad&lt;/author&gt;&lt;/authors&gt;&lt;/contributors&gt;&lt;titles&gt;&lt;title&gt;Wireless sensor networks: concepts, applications, experimentation and analysis&lt;/title&gt;&lt;/titles&gt;&lt;dates&gt;&lt;year&gt;2016&lt;/year&gt;&lt;/dates&gt;&lt;publisher&gt;Springer&lt;/publisher&gt;&lt;isbn&gt;9811004129&lt;/isbn&gt;&lt;urls&gt;&lt;/urls&gt;&lt;/record&gt;&lt;/Cite&gt;&lt;Cite&gt;&lt;Author&gt;Yuce&lt;/Author&gt;&lt;Year&gt;2011&lt;/Year&gt;&lt;RecNum&gt;1&lt;/RecNum&gt;&lt;record&gt;&lt;rec-number&gt;1&lt;/rec-number&gt;&lt;foreign-keys&gt;&lt;key app="EN" db-id="x09rref955pwziett20vds0merwawtxseszv" timestamp="1733816579"&gt;1&lt;/key&gt;&lt;/foreign-keys&gt;&lt;ref-type name="Book"&gt;6&lt;/ref-type&gt;&lt;contributors&gt;&lt;authors&gt;&lt;author&gt;Yuce, Mehmet R&lt;/author&gt;&lt;author&gt;Khan, Jamil&lt;/author&gt;&lt;/authors&gt;&lt;/contributors&gt;&lt;titles&gt;&lt;title&gt;Wireless body area networks: technology, implementation, and applications&lt;/title&gt;&lt;/titles&gt;&lt;dates&gt;&lt;year&gt;2011&lt;/year&gt;&lt;/dates&gt;&lt;publisher&gt;CRC Press&lt;/publisher&gt;&lt;isbn&gt;9814241571&lt;/isbn&gt;&lt;urls&gt;&lt;/urls&gt;&lt;/record&gt;&lt;/Cite&gt;&lt;/EndNote&gt;</w:instrText>
      </w:r>
      <w:r w:rsidR="00BB17CB">
        <w:rPr>
          <w:sz w:val="24"/>
          <w:lang w:val="en-US"/>
        </w:rPr>
        <w:fldChar w:fldCharType="separate"/>
      </w:r>
      <w:r w:rsidR="009C0A65">
        <w:rPr>
          <w:noProof/>
          <w:sz w:val="24"/>
          <w:lang w:val="en-US"/>
        </w:rPr>
        <w:t>[1, 2]</w:t>
      </w:r>
      <w:r w:rsidR="00BB17CB">
        <w:rPr>
          <w:sz w:val="24"/>
          <w:lang w:val="en-US"/>
        </w:rPr>
        <w:fldChar w:fldCharType="end"/>
      </w:r>
      <w:r w:rsidR="00377D37" w:rsidRPr="00A30254">
        <w:rPr>
          <w:sz w:val="24"/>
          <w:lang w:val="en-US"/>
        </w:rPr>
        <w:t>.</w:t>
      </w:r>
      <w:r w:rsidR="00377D37">
        <w:rPr>
          <w:sz w:val="24"/>
          <w:lang w:val="en-US"/>
        </w:rPr>
        <w:t xml:space="preserve"> </w:t>
      </w:r>
      <w:r w:rsidR="002077F6" w:rsidRPr="002077F6">
        <w:rPr>
          <w:sz w:val="24"/>
          <w:lang w:val="en-US"/>
        </w:rPr>
        <w:t xml:space="preserve">The Industrial, Scientific, and Medical (ISM) frequency bands, particularly at 2.45 GHz and 5.8 GHz, have gained prominence in wireless communication due to their global availability, license-free operation, and low power requirements. These characteristics make ISM bands ideal for biomedical applications such as health monitoring, remote diagnostics, and medical telemetry. Devices leveraging these frequencies can achieve continuous data transmission with fewer regulatory limitations </w:t>
      </w:r>
      <w:r w:rsidR="00BB17CB">
        <w:rPr>
          <w:sz w:val="24"/>
          <w:lang w:val="en-US"/>
        </w:rPr>
        <w:fldChar w:fldCharType="begin"/>
      </w:r>
      <w:r w:rsidR="009C0A65">
        <w:rPr>
          <w:sz w:val="24"/>
          <w:lang w:val="en-US"/>
        </w:rPr>
        <w:instrText xml:space="preserve"> ADDIN EN.CITE &lt;EndNote&gt;&lt;Cite&gt;&lt;Author&gt;Mondal&lt;/Author&gt;&lt;Year&gt;2017&lt;/Year&gt;&lt;RecNum&gt;3&lt;/RecNum&gt;&lt;DisplayText&gt;[3]&lt;/DisplayText&gt;&lt;record&gt;&lt;rec-number&gt;3&lt;/rec-number&gt;&lt;foreign-keys&gt;&lt;key app="EN" db-id="x09rref955pwziett20vds0merwawtxseszv" timestamp="1733817634"&gt;3&lt;/key&gt;&lt;/foreign-keys&gt;&lt;ref-type name="Journal Article"&gt;17&lt;/ref-type&gt;&lt;contributors&gt;&lt;authors&gt;&lt;author&gt;Mondal, Kalyan&lt;/author&gt;&lt;author&gt;Sarkar, Partha Pratim&lt;/author&gt;&lt;/authors&gt;&lt;/contributors&gt;&lt;titles&gt;&lt;title&gt;Dual band compact monopole antenna for ISM 2.4/5.8 frequency b</w:instrText>
      </w:r>
      <w:r w:rsidR="009C0A65">
        <w:rPr>
          <w:rFonts w:hint="eastAsia"/>
          <w:sz w:val="24"/>
          <w:lang w:val="en-US"/>
        </w:rPr>
        <w:instrText>ands with bluetooth, Wi</w:instrText>
      </w:r>
      <w:r w:rsidR="009C0A65">
        <w:rPr>
          <w:rFonts w:hint="eastAsia"/>
          <w:sz w:val="24"/>
          <w:lang w:val="en-US"/>
        </w:rPr>
        <w:instrText>‐</w:instrText>
      </w:r>
      <w:r w:rsidR="009C0A65">
        <w:rPr>
          <w:rFonts w:hint="eastAsia"/>
          <w:sz w:val="24"/>
          <w:lang w:val="en-US"/>
        </w:rPr>
        <w:instrText>Fi, and mobile applications&lt;/title&gt;&lt;secondary-title&gt;Microwave and Optical Technology Letters&lt;/secondary-title&gt;&lt;/titles&gt;&lt;periodical&gt;&lt;full-title&gt;Microwave and Optical Technology Letters&lt;/full-title&gt;&lt;/periodical&gt;&lt;pages&gt;1061-1065&lt;/page</w:instrText>
      </w:r>
      <w:r w:rsidR="009C0A65">
        <w:rPr>
          <w:sz w:val="24"/>
          <w:lang w:val="en-US"/>
        </w:rPr>
        <w:instrText>s&gt;&lt;volume&gt;59&lt;/volume&gt;&lt;number&gt;5&lt;/number&gt;&lt;dates&gt;&lt;year&gt;2017&lt;/year&gt;&lt;/dates&gt;&lt;isbn&gt;0895-2477&lt;/isbn&gt;&lt;urls&gt;&lt;/urls&gt;&lt;/record&gt;&lt;/Cite&gt;&lt;/EndNote&gt;</w:instrText>
      </w:r>
      <w:r w:rsidR="00BB17CB">
        <w:rPr>
          <w:sz w:val="24"/>
          <w:lang w:val="en-US"/>
        </w:rPr>
        <w:fldChar w:fldCharType="separate"/>
      </w:r>
      <w:r w:rsidR="009C0A65">
        <w:rPr>
          <w:noProof/>
          <w:sz w:val="24"/>
          <w:lang w:val="en-US"/>
        </w:rPr>
        <w:t>[3]</w:t>
      </w:r>
      <w:r w:rsidR="00BB17CB">
        <w:rPr>
          <w:sz w:val="24"/>
          <w:lang w:val="en-US"/>
        </w:rPr>
        <w:fldChar w:fldCharType="end"/>
      </w:r>
      <w:r w:rsidR="00A30254" w:rsidRPr="00191C50">
        <w:rPr>
          <w:sz w:val="24"/>
          <w:lang w:val="en-US"/>
        </w:rPr>
        <w:t>.</w:t>
      </w:r>
      <w:r w:rsidR="00A30254">
        <w:rPr>
          <w:sz w:val="24"/>
          <w:lang w:val="en-US"/>
        </w:rPr>
        <w:t xml:space="preserve"> </w:t>
      </w:r>
      <w:r w:rsidR="002077F6" w:rsidRPr="002077F6">
        <w:rPr>
          <w:sz w:val="24"/>
          <w:lang w:val="en-US"/>
        </w:rPr>
        <w:t xml:space="preserve">Modern wireless communication systems increasingly demand multiband antennas capable of operating across multiple frequencies with minimal hardware complexity. This is especially critical for </w:t>
      </w:r>
      <w:r w:rsidR="002077F6" w:rsidRPr="002077F6">
        <w:rPr>
          <w:sz w:val="24"/>
          <w:lang w:val="en-US"/>
        </w:rPr>
        <w:lastRenderedPageBreak/>
        <w:t>IoT and wearable applications, where size, cost, and efficiency are paramount. For ISM band applications, compact and power-efficient antenna designs are essential, particularly for body-centric devices that must operate near or directly on the human body. Antennas in these settings must account for potential interference from body tissues and surrounding materials, ensuring reliable performance in biomedical environments</w:t>
      </w:r>
      <w:r w:rsidR="006912C7">
        <w:rPr>
          <w:sz w:val="24"/>
          <w:lang w:val="en-US"/>
        </w:rPr>
        <w:t xml:space="preserve"> </w:t>
      </w:r>
      <w:r w:rsidR="006912C7">
        <w:rPr>
          <w:sz w:val="24"/>
          <w:lang w:val="en-US"/>
        </w:rPr>
        <w:fldChar w:fldCharType="begin"/>
      </w:r>
      <w:r w:rsidR="006912C7">
        <w:rPr>
          <w:sz w:val="24"/>
          <w:lang w:val="en-US"/>
        </w:rPr>
        <w:instrText xml:space="preserve"> ADDIN EN.CITE &lt;EndNote&gt;&lt;Cite&gt;&lt;Author&gt;Abdulkawi&lt;/Author&gt;&lt;Year&gt;2021&lt;/Year&gt;&lt;RecNum&gt;2&lt;/RecNum&gt;&lt;DisplayText&gt;[4, 5]&lt;/DisplayText&gt;&lt;record&gt;&lt;rec-number&gt;2&lt;/rec-number&gt;&lt;foreign-keys&gt;&lt;key app="EN" db-id="x09rref955pwziett20vds0merwawtxseszv" timestamp="1733817309"&gt;2&lt;/key&gt;&lt;/foreign-keys&gt;&lt;ref-type name="Journal Article"&gt;17&lt;/ref-type&gt;&lt;contributors&gt;&lt;authors&gt;&lt;author&gt;Abdulkawi, Wazie M&lt;/author&gt;&lt;author&gt;Sheta, Abdel Fattah A&lt;/author&gt;&lt;author&gt;Elshafiey, Ibrahim&lt;/author&gt;&lt;author&gt;Alkanhal, Majeed A&lt;/author&gt;&lt;/authors&gt;&lt;/contributors&gt;&lt;titles&gt;&lt;title&gt;Design of low-profile single-and dual-band antennas for IoT applications&lt;/title&gt;&lt;secondary-title&gt;Electronics&lt;/secondary-title&gt;&lt;/titles&gt;&lt;periodical&gt;&lt;full-title&gt;Electronics&lt;/full-title&gt;&lt;/periodical&gt;&lt;pages&gt;2766&lt;/pages&gt;&lt;volume&gt;10&lt;/volume&gt;&lt;number&gt;22&lt;/number&gt;&lt;dates&gt;&lt;year&gt;2021&lt;/year&gt;&lt;/dates&gt;&lt;isbn&gt;2079-9292&lt;/isbn&gt;&lt;urls&gt;&lt;/urls&gt;&lt;/record&gt;&lt;/Cite&gt;&lt;Cite&gt;&lt;Author&gt;Ali&lt;/Author&gt;&lt;Year&gt;2023&lt;/Year&gt;&lt;RecNum&gt;5&lt;/RecNum&gt;&lt;record&gt;&lt;rec-number&gt;5&lt;/rec-number&gt;&lt;foreign-keys&gt;&lt;key app="EN" db-id="x09rref955pwziett20vds0merwawtxseszv" timestamp="1733817982"&gt;5&lt;/key&gt;&lt;/foreign-keys&gt;&lt;ref-type name="Journal Article"&gt;17&lt;/ref-type&gt;&lt;contributors&gt;&lt;authors&gt;&lt;author&gt;Ali, Usman&lt;/author&gt;&lt;author&gt;Ullah, Sadiq&lt;/author&gt;&lt;author&gt;Kamal, Babar&lt;/author&gt;&lt;author&gt;Matekovits, Ladislau&lt;/author&gt;&lt;author&gt;Altaf, Amir&lt;/author&gt;&lt;/authors&gt;&lt;/contributors&gt;&lt;titles&gt;&lt;title&gt;Design, analysis and applications of wearable antennas: A review&lt;/title&gt;&lt;secondary-title&gt;IEEE Access&lt;/secondary-title&gt;&lt;/titles&gt;&lt;periodical&gt;&lt;full-title&gt;IEEE Access&lt;/full-title&gt;&lt;/periodical&gt;&lt;pages&gt;14458-14486&lt;/pages&gt;&lt;volume&gt;11&lt;/volume&gt;&lt;dates&gt;&lt;year&gt;2023&lt;/year&gt;&lt;/dates&gt;&lt;isbn&gt;2169-3536&lt;/isbn&gt;&lt;urls&gt;&lt;/urls&gt;&lt;/record&gt;&lt;/Cite&gt;&lt;/EndNote&gt;</w:instrText>
      </w:r>
      <w:r w:rsidR="006912C7">
        <w:rPr>
          <w:sz w:val="24"/>
          <w:lang w:val="en-US"/>
        </w:rPr>
        <w:fldChar w:fldCharType="separate"/>
      </w:r>
      <w:r w:rsidR="006912C7">
        <w:rPr>
          <w:noProof/>
          <w:sz w:val="24"/>
          <w:lang w:val="en-US"/>
        </w:rPr>
        <w:t>[4, 5]</w:t>
      </w:r>
      <w:r w:rsidR="006912C7">
        <w:rPr>
          <w:sz w:val="24"/>
          <w:lang w:val="en-US"/>
        </w:rPr>
        <w:fldChar w:fldCharType="end"/>
      </w:r>
      <w:r w:rsidR="00A30254" w:rsidRPr="00A30254">
        <w:rPr>
          <w:sz w:val="24"/>
          <w:lang w:val="en-US"/>
        </w:rPr>
        <w:t>.</w:t>
      </w:r>
    </w:p>
    <w:p w14:paraId="6D434472" w14:textId="34E18767" w:rsidR="00191C50" w:rsidRPr="00191C50" w:rsidRDefault="00191C50" w:rsidP="00191C50">
      <w:pPr>
        <w:pStyle w:val="IEEEParagraph"/>
        <w:ind w:firstLine="170"/>
        <w:rPr>
          <w:sz w:val="24"/>
          <w:lang w:val="en-US"/>
        </w:rPr>
      </w:pPr>
      <w:r w:rsidRPr="00191C50">
        <w:rPr>
          <w:sz w:val="24"/>
          <w:lang w:val="en-US"/>
        </w:rPr>
        <w:t xml:space="preserve">The demand for miniaturized, efficient, and reliable antennas capable of operating at different frequencies has significantly increased, particularly for wireless communication in </w:t>
      </w:r>
      <w:r w:rsidR="00A30254">
        <w:rPr>
          <w:sz w:val="24"/>
          <w:lang w:val="en-US"/>
        </w:rPr>
        <w:t>ISM</w:t>
      </w:r>
      <w:r w:rsidRPr="00191C50">
        <w:rPr>
          <w:sz w:val="24"/>
          <w:lang w:val="en-US"/>
        </w:rPr>
        <w:t xml:space="preserve"> bands. Antennas for these applications must be small, lightweight, and conformal to the device's surface, while also providing adequate isolation and radiation efficiency. Furthermore, the antennas must be able to operate reliably in harsh environments, such as extreme temperatures and humidity. Microstrip antennas, or patch antennas, have become a preferred choice</w:t>
      </w:r>
      <w:r w:rsidR="00CC156A">
        <w:rPr>
          <w:sz w:val="24"/>
          <w:lang w:val="en-US"/>
        </w:rPr>
        <w:t xml:space="preserve"> for biomedical applications owing</w:t>
      </w:r>
      <w:r w:rsidRPr="00191C50">
        <w:rPr>
          <w:sz w:val="24"/>
          <w:lang w:val="en-US"/>
        </w:rPr>
        <w:t xml:space="preserve"> to their </w:t>
      </w:r>
      <w:r w:rsidR="003B5F3B" w:rsidRPr="003B5F3B">
        <w:rPr>
          <w:sz w:val="24"/>
          <w:lang w:val="en-US"/>
        </w:rPr>
        <w:t>small form factor, lightweight design, and seamless integration into</w:t>
      </w:r>
      <w:r w:rsidRPr="00191C50">
        <w:rPr>
          <w:sz w:val="24"/>
          <w:lang w:val="en-US"/>
        </w:rPr>
        <w:t xml:space="preserve"> wearable devices</w:t>
      </w:r>
      <w:r w:rsidR="00731550">
        <w:rPr>
          <w:sz w:val="24"/>
          <w:lang w:val="en-US"/>
        </w:rPr>
        <w:t xml:space="preserve"> </w:t>
      </w:r>
      <w:r w:rsidR="00731550">
        <w:rPr>
          <w:sz w:val="24"/>
          <w:lang w:val="en-US"/>
        </w:rPr>
        <w:fldChar w:fldCharType="begin"/>
      </w:r>
      <w:r w:rsidR="006912C7">
        <w:rPr>
          <w:sz w:val="24"/>
          <w:lang w:val="en-US"/>
        </w:rPr>
        <w:instrText xml:space="preserve"> ADDIN EN.CITE &lt;EndNote&gt;&lt;Cite&gt;&lt;Author&gt;Arif&lt;/Author&gt;&lt;Year&gt;2019&lt;/Year&gt;&lt;RecNum&gt;7&lt;/RecNum&gt;&lt;DisplayText&gt;[6]&lt;/DisplayText&gt;&lt;record&gt;&lt;rec-number&gt;7&lt;/rec-number&gt;&lt;foreign-keys&gt;&lt;key app="EN" db-id="x09rref955pwziett20vds0merwawtxseszv" timestamp="1733818669"&gt;7&lt;/key&gt;&lt;/foreign-keys&gt;&lt;ref-type name="Journal Article"&gt;17&lt;/ref-type&gt;&lt;contributors&gt;&lt;authors&gt;&lt;author&gt;Arif, Ali&lt;/author&gt;&lt;author&gt;Zubair, Muhammad&lt;/author&gt;&lt;author&gt;Ali, Mubasher&lt;/author&gt;&lt;author&gt;Khan, Muhammad Umar&lt;/author&gt;&lt;author&gt;Mehmood, Muhammad Qasim&lt;/author&gt;&lt;/authors&gt;&lt;/contributors&gt;&lt;titles&gt;&lt;title&gt;A compact, low-profile fractal antenna for wearable on-body WBAN applications&lt;/title&gt;&lt;secondary-title&gt;IEEE Antennas and Wireless Propagation Letters&lt;/secondary-title&gt;&lt;/titles&gt;&lt;periodical&gt;&lt;full-title&gt;IEEE Antennas and Wireless Propagation Letters&lt;/full-title&gt;&lt;/periodical&gt;&lt;pages&gt;981-985&lt;/pages&gt;&lt;volume&gt;18&lt;/volume&gt;&lt;number&gt;5&lt;/number&gt;&lt;dates&gt;&lt;year&gt;2019&lt;/year&gt;&lt;/dates&gt;&lt;isbn&gt;1536-1225&lt;/isbn&gt;&lt;urls&gt;&lt;/urls&gt;&lt;/record&gt;&lt;/Cite&gt;&lt;/EndNote&gt;</w:instrText>
      </w:r>
      <w:r w:rsidR="00731550">
        <w:rPr>
          <w:sz w:val="24"/>
          <w:lang w:val="en-US"/>
        </w:rPr>
        <w:fldChar w:fldCharType="separate"/>
      </w:r>
      <w:r w:rsidR="006912C7">
        <w:rPr>
          <w:noProof/>
          <w:sz w:val="24"/>
          <w:lang w:val="en-US"/>
        </w:rPr>
        <w:t>[6]</w:t>
      </w:r>
      <w:r w:rsidR="00731550">
        <w:rPr>
          <w:sz w:val="24"/>
          <w:lang w:val="en-US"/>
        </w:rPr>
        <w:fldChar w:fldCharType="end"/>
      </w:r>
      <w:r w:rsidRPr="00191C50">
        <w:rPr>
          <w:sz w:val="24"/>
          <w:lang w:val="en-US"/>
        </w:rPr>
        <w:t xml:space="preserve">. Additionally, microstrip antennas are relatively inexpensive, making them an attractive choice for many applications. Microstrip antennas are also compatible </w:t>
      </w:r>
      <w:r w:rsidR="003B5F3B" w:rsidRPr="003B5F3B">
        <w:rPr>
          <w:sz w:val="24"/>
          <w:lang w:val="en-US"/>
        </w:rPr>
        <w:t xml:space="preserve">across a broad spectrum of </w:t>
      </w:r>
      <w:r w:rsidRPr="00191C50">
        <w:rPr>
          <w:sz w:val="24"/>
          <w:lang w:val="en-US"/>
        </w:rPr>
        <w:t>wireless devices, making them an ideal solution for many applications.</w:t>
      </w:r>
      <w:r w:rsidR="001E4AAA">
        <w:rPr>
          <w:sz w:val="24"/>
          <w:lang w:val="en-US"/>
        </w:rPr>
        <w:t xml:space="preserve"> </w:t>
      </w:r>
      <w:r w:rsidR="001E4AAA" w:rsidRPr="001E4AAA">
        <w:rPr>
          <w:sz w:val="24"/>
          <w:lang w:val="en-US"/>
        </w:rPr>
        <w:t>However, conventional printed circuit board (PCB) manufacturing methods and substrate materials used in the production of these antennas pose problems in terms of environmental sustainability. In recent years, the use of environmentally friendly alternatives instead of commonly used materials has encouraged researchers</w:t>
      </w:r>
      <w:r w:rsidR="00731550">
        <w:rPr>
          <w:sz w:val="24"/>
          <w:lang w:val="en-US"/>
        </w:rPr>
        <w:t xml:space="preserve"> </w:t>
      </w:r>
      <w:r w:rsidR="00731550">
        <w:rPr>
          <w:sz w:val="24"/>
          <w:lang w:val="en-US"/>
        </w:rPr>
        <w:fldChar w:fldCharType="begin"/>
      </w:r>
      <w:r w:rsidR="006912C7">
        <w:rPr>
          <w:sz w:val="24"/>
          <w:lang w:val="en-US"/>
        </w:rPr>
        <w:instrText xml:space="preserve"> ADDIN EN.CITE &lt;EndNote&gt;&lt;Cite&gt;&lt;Author&gt;Fougeroux&lt;/Author&gt;&lt;Year&gt;2024&lt;/Year&gt;&lt;RecNum&gt;8&lt;/RecNum&gt;&lt;DisplayText&gt;[7]&lt;/DisplayText&gt;&lt;record&gt;&lt;rec-number&gt;8&lt;/rec-number&gt;&lt;foreign-keys&gt;&lt;key app="EN" db-id="x09rref955pwziett20vds0merwawtxseszv" timestamp="1733818803"&gt;8&lt;/key&gt;&lt;/foreign-keys&gt;&lt;ref-type name="Journal Article"&gt;17&lt;/ref-type&gt;&lt;contributors&gt;&lt;authors&gt;&lt;author&gt;Fougeroux, Tristan&lt;/author&gt;&lt;author&gt;Douyère, Alexandre&lt;/author&gt;&lt;author&gt;Murad, Nour Mohammad&lt;/author&gt;&lt;author&gt;Sibille, Julie&lt;/author&gt;&lt;author&gt;Oree, Shailendra&lt;/author&gt;&lt;author&gt;Dubard, Jean-Lou&lt;/author&gt;&lt;/authors&gt;&lt;/contributors&gt;&lt;titles&gt;&lt;title&gt;Performance enhancement of low-cost microstrip patch antennas through 3D-printed conductive geometric forms&lt;/title&gt;&lt;secondary-title&gt;AEU-International Journal of Electronics and Communications&lt;/secondary-title&gt;&lt;/titles&gt;&lt;periodical&gt;&lt;full-title&gt;AEU-International Journal of Electronics and Communications&lt;/full-title&gt;&lt;/periodical&gt;&lt;pages&gt;155211&lt;/pages&gt;&lt;volume&gt;177&lt;/volume&gt;&lt;dates&gt;&lt;year&gt;2024&lt;/year&gt;&lt;/dates&gt;&lt;isbn&gt;1434-8411&lt;/isbn&gt;&lt;urls&gt;&lt;/urls&gt;&lt;/record&gt;&lt;/Cite&gt;&lt;/EndNote&gt;</w:instrText>
      </w:r>
      <w:r w:rsidR="00731550">
        <w:rPr>
          <w:sz w:val="24"/>
          <w:lang w:val="en-US"/>
        </w:rPr>
        <w:fldChar w:fldCharType="separate"/>
      </w:r>
      <w:r w:rsidR="006912C7">
        <w:rPr>
          <w:noProof/>
          <w:sz w:val="24"/>
          <w:lang w:val="en-US"/>
        </w:rPr>
        <w:t>[7]</w:t>
      </w:r>
      <w:r w:rsidR="00731550">
        <w:rPr>
          <w:sz w:val="24"/>
          <w:lang w:val="en-US"/>
        </w:rPr>
        <w:fldChar w:fldCharType="end"/>
      </w:r>
      <w:r w:rsidR="001E4AAA" w:rsidRPr="001E4AAA">
        <w:rPr>
          <w:sz w:val="24"/>
          <w:lang w:val="en-US"/>
        </w:rPr>
        <w:t>.</w:t>
      </w:r>
    </w:p>
    <w:p w14:paraId="175A906F" w14:textId="04954EC6" w:rsidR="00191C50" w:rsidRPr="00191C50" w:rsidRDefault="00191C50" w:rsidP="00191C50">
      <w:pPr>
        <w:pStyle w:val="IEEEParagraph"/>
        <w:ind w:firstLine="170"/>
        <w:rPr>
          <w:sz w:val="24"/>
          <w:lang w:val="en-US"/>
        </w:rPr>
      </w:pPr>
      <w:r w:rsidRPr="00191C50">
        <w:rPr>
          <w:sz w:val="24"/>
          <w:lang w:val="en-US"/>
        </w:rPr>
        <w:t xml:space="preserve">The emergence of 3D printing technology has opened new avenues for antenna fabrication, particularly for biomedical applications. 3D printing allows for the design and manufacturing of complex, customized antenna geometries that traditional fabrication techniques cannot easily achieve. The ability to produce antennas with intricate structures, as well as incorporating lightweight and biocompatible materials, makes 3D printing an attractive option for wearable and biomedical antenna applications. </w:t>
      </w:r>
      <w:r w:rsidR="002077F6" w:rsidRPr="002077F6">
        <w:rPr>
          <w:sz w:val="24"/>
          <w:lang w:val="en-US"/>
        </w:rPr>
        <w:t>Among these materials, Polylactic Acid (PLA) stands out due to its biodegradable and non-toxic properties, combined with its cost-effectiveness and ease of processing. As an environmentally friendly material, PLA has garnered attention for use in 3D-printed antenna substrates, offering low dielectric losses that make it ideal for high-frequency applications</w:t>
      </w:r>
      <w:r w:rsidR="002077F6">
        <w:rPr>
          <w:sz w:val="24"/>
          <w:lang w:val="en-US"/>
        </w:rPr>
        <w:t xml:space="preserve"> </w:t>
      </w:r>
      <w:r w:rsidR="00731550">
        <w:rPr>
          <w:sz w:val="24"/>
          <w:lang w:val="en-US"/>
        </w:rPr>
        <w:fldChar w:fldCharType="begin"/>
      </w:r>
      <w:r w:rsidR="006912C7">
        <w:rPr>
          <w:sz w:val="24"/>
          <w:lang w:val="en-US"/>
        </w:rPr>
        <w:instrText xml:space="preserve"> ADDIN EN.CITE &lt;EndNote&gt;&lt;Cite&gt;&lt;Author&gt;Jha&lt;/Author&gt;&lt;Year&gt;2023&lt;/Year&gt;&lt;RecNum&gt;6&lt;/RecNum&gt;&lt;DisplayText&gt;[8]&lt;/DisplayText&gt;&lt;record&gt;&lt;rec-number&gt;6&lt;/rec-number&gt;&lt;foreign-keys&gt;&lt;key app="EN" db-id="x09rref955pwziett20vds0merwawtxseszv" timestamp="1733818424"&gt;6&lt;/key&gt;&lt;/foreign-keys&gt;&lt;ref-type name="Journal Article"&gt;17&lt;/ref-type&gt;&lt;contributors&gt;&lt;authors&gt;&lt;author&gt;Jha, Amish Kumar&lt;/author&gt;&lt;author&gt;Swami, Preety D&lt;/author&gt;&lt;author&gt;Jeevakhan, Hussain&lt;/author&gt;&lt;/authors&gt;&lt;/contributors&gt;&lt;titles&gt;&lt;title&gt;Additive manufacturing substrate for patch antenna using variable infill Poly Lactic acid&lt;/title&gt;&lt;secondary-title&gt;AEU-International Journal of Electronics and Communications&lt;/secondary-title&gt;&lt;/titles&gt;&lt;periodical&gt;&lt;full-title&gt;AEU-International Journal of Electronics and Communications&lt;/full-title&gt;&lt;/periodical&gt;&lt;pages&gt;154661&lt;/pages&gt;&lt;volume&gt;165&lt;/volume&gt;&lt;dates&gt;&lt;year&gt;2023&lt;/year&gt;&lt;/dates&gt;&lt;isbn&gt;1434-8411&lt;/isbn&gt;&lt;urls&gt;&lt;/urls&gt;&lt;/record&gt;&lt;/Cite&gt;&lt;/EndNote&gt;</w:instrText>
      </w:r>
      <w:r w:rsidR="00731550">
        <w:rPr>
          <w:sz w:val="24"/>
          <w:lang w:val="en-US"/>
        </w:rPr>
        <w:fldChar w:fldCharType="separate"/>
      </w:r>
      <w:r w:rsidR="006912C7">
        <w:rPr>
          <w:noProof/>
          <w:sz w:val="24"/>
          <w:lang w:val="en-US"/>
        </w:rPr>
        <w:t>[8]</w:t>
      </w:r>
      <w:r w:rsidR="00731550">
        <w:rPr>
          <w:sz w:val="24"/>
          <w:lang w:val="en-US"/>
        </w:rPr>
        <w:fldChar w:fldCharType="end"/>
      </w:r>
      <w:r w:rsidRPr="00191C50">
        <w:rPr>
          <w:sz w:val="24"/>
          <w:lang w:val="en-US"/>
        </w:rPr>
        <w:t>.</w:t>
      </w:r>
    </w:p>
    <w:p w14:paraId="00B1A79C" w14:textId="77620060" w:rsidR="007F7949" w:rsidRDefault="002077F6" w:rsidP="00191C50">
      <w:pPr>
        <w:pStyle w:val="IEEEParagraph"/>
        <w:ind w:firstLine="170"/>
        <w:rPr>
          <w:sz w:val="24"/>
          <w:lang w:val="en-US"/>
        </w:rPr>
      </w:pPr>
      <w:r w:rsidRPr="002077F6">
        <w:rPr>
          <w:sz w:val="24"/>
          <w:lang w:val="en-US"/>
        </w:rPr>
        <w:t xml:space="preserve">This </w:t>
      </w:r>
      <w:r w:rsidR="003B5F3B">
        <w:rPr>
          <w:sz w:val="24"/>
          <w:lang w:val="en-US"/>
        </w:rPr>
        <w:t xml:space="preserve">paper </w:t>
      </w:r>
      <w:r w:rsidR="003B5F3B" w:rsidRPr="003B5F3B">
        <w:rPr>
          <w:sz w:val="24"/>
          <w:lang w:val="en-US"/>
        </w:rPr>
        <w:t xml:space="preserve">emphasizes the development </w:t>
      </w:r>
      <w:r w:rsidRPr="002077F6">
        <w:rPr>
          <w:sz w:val="24"/>
          <w:lang w:val="en-US"/>
        </w:rPr>
        <w:t xml:space="preserve">and performance analysis of a dual-band biomedical antenna optimized for 2.45 GHz and 5.8 GHz ISM band operations. </w:t>
      </w:r>
      <w:r w:rsidR="003B5F3B">
        <w:rPr>
          <w:sz w:val="24"/>
          <w:lang w:val="en-US"/>
        </w:rPr>
        <w:t xml:space="preserve">PLA is used for dielectric </w:t>
      </w:r>
      <w:r w:rsidRPr="002077F6">
        <w:rPr>
          <w:sz w:val="24"/>
          <w:lang w:val="en-US"/>
        </w:rPr>
        <w:t>substrate</w:t>
      </w:r>
      <w:r w:rsidR="003B5F3B">
        <w:rPr>
          <w:sz w:val="24"/>
          <w:lang w:val="en-US"/>
        </w:rPr>
        <w:t xml:space="preserve"> and</w:t>
      </w:r>
      <w:r w:rsidRPr="002077F6">
        <w:rPr>
          <w:sz w:val="24"/>
          <w:lang w:val="en-US"/>
        </w:rPr>
        <w:t xml:space="preserve"> the </w:t>
      </w:r>
      <w:r w:rsidR="003B5F3B">
        <w:rPr>
          <w:sz w:val="24"/>
          <w:lang w:val="en-US"/>
        </w:rPr>
        <w:t xml:space="preserve">proposed </w:t>
      </w:r>
      <w:r w:rsidRPr="002077F6">
        <w:rPr>
          <w:sz w:val="24"/>
          <w:lang w:val="en-US"/>
        </w:rPr>
        <w:t>antenna is fabricated through additive manufacturing, leveraging its biocompatibility and processing advantages. The analysis emphasizes key performance metrics, including radiation efficiency, impedance matching, and radiation patterns, ensuring compliance with the rigorous demands of biomedical applications. Furthermore, Specific Absorption Rate (SAR) evaluations are conducted to ensure the antenna operates safely when used near the human body. The fi</w:t>
      </w:r>
      <w:r w:rsidR="003B5F3B">
        <w:rPr>
          <w:sz w:val="24"/>
          <w:lang w:val="en-US"/>
        </w:rPr>
        <w:t>ndings confirm that the</w:t>
      </w:r>
      <w:r w:rsidRPr="002077F6">
        <w:rPr>
          <w:sz w:val="24"/>
          <w:lang w:val="en-US"/>
        </w:rPr>
        <w:t xml:space="preserve"> 3D-printed antenna effectively supports dual-band communication, offering a reliable and efficient solution for biomedical devices. By combining the advantages of ISM band frequencies, microstrip technology, and modern 3D printing, this work demonstrates a promising pathway for developing advanced wearable communication systems</w:t>
      </w:r>
      <w:r w:rsidR="00191C50" w:rsidRPr="00191C50">
        <w:rPr>
          <w:sz w:val="24"/>
          <w:lang w:val="en-US"/>
        </w:rPr>
        <w:t>.</w:t>
      </w:r>
      <w:r w:rsidR="00191C50">
        <w:rPr>
          <w:sz w:val="24"/>
          <w:lang w:val="en-US"/>
        </w:rPr>
        <w:t xml:space="preserve"> </w:t>
      </w:r>
    </w:p>
    <w:p w14:paraId="64599006" w14:textId="77777777" w:rsidR="00CA5E8A" w:rsidRPr="00C66488" w:rsidRDefault="00CA5E8A" w:rsidP="00191C50">
      <w:pPr>
        <w:pStyle w:val="IEEEParagraph"/>
        <w:ind w:firstLine="170"/>
        <w:rPr>
          <w:sz w:val="24"/>
          <w:lang w:val="en-US"/>
        </w:rPr>
      </w:pPr>
    </w:p>
    <w:p w14:paraId="3A77B110" w14:textId="2A03E552" w:rsidR="007F7949" w:rsidRPr="00C66488" w:rsidRDefault="00CA5E8A" w:rsidP="00C66488">
      <w:pPr>
        <w:pStyle w:val="IEEEHeading1"/>
        <w:jc w:val="left"/>
        <w:rPr>
          <w:sz w:val="24"/>
        </w:rPr>
      </w:pPr>
      <w:r>
        <w:rPr>
          <w:sz w:val="24"/>
        </w:rPr>
        <w:t>ANTENNA DESIGN</w:t>
      </w:r>
    </w:p>
    <w:p w14:paraId="1CD07ECB" w14:textId="706F4582" w:rsidR="007F7949" w:rsidRDefault="003B5F3B" w:rsidP="00787FF7">
      <w:pPr>
        <w:pStyle w:val="IEEEParagraph"/>
        <w:rPr>
          <w:sz w:val="24"/>
        </w:rPr>
      </w:pPr>
      <w:r>
        <w:rPr>
          <w:sz w:val="24"/>
          <w:lang w:val="en-US"/>
        </w:rPr>
        <w:t>The</w:t>
      </w:r>
      <w:r w:rsidR="002077F6" w:rsidRPr="002077F6">
        <w:rPr>
          <w:sz w:val="24"/>
          <w:lang w:val="en-US"/>
        </w:rPr>
        <w:t xml:space="preserve"> </w:t>
      </w:r>
      <w:r w:rsidRPr="003B5F3B">
        <w:rPr>
          <w:sz w:val="24"/>
          <w:lang w:val="en-US"/>
        </w:rPr>
        <w:t xml:space="preserve">antenna with dual-band capabilities </w:t>
      </w:r>
      <w:r w:rsidR="002077F6" w:rsidRPr="002077F6">
        <w:rPr>
          <w:sz w:val="24"/>
          <w:lang w:val="en-US"/>
        </w:rPr>
        <w:t>presented in this study is designed and simul</w:t>
      </w:r>
      <w:r w:rsidR="002077F6">
        <w:rPr>
          <w:sz w:val="24"/>
          <w:lang w:val="en-US"/>
        </w:rPr>
        <w:t>ated using CST MWS</w:t>
      </w:r>
      <w:r w:rsidR="002077F6" w:rsidRPr="002077F6">
        <w:rPr>
          <w:sz w:val="24"/>
          <w:lang w:val="en-US"/>
        </w:rPr>
        <w:t xml:space="preserve"> software to ensure optimal performance at the ISM frequencies of 2.45 GHz and 5.8 GHz</w:t>
      </w:r>
      <w:r w:rsidR="00787FF7" w:rsidRPr="00787FF7">
        <w:rPr>
          <w:sz w:val="24"/>
          <w:lang w:val="en-US"/>
        </w:rPr>
        <w:t>. The design process includes optimization to achieve precise dimensions for linear performance and efficient impedance matching.</w:t>
      </w:r>
      <w:r w:rsidR="00787FF7">
        <w:rPr>
          <w:sz w:val="24"/>
          <w:lang w:val="en-US"/>
        </w:rPr>
        <w:t xml:space="preserve"> </w:t>
      </w:r>
      <w:r w:rsidR="002077F6" w:rsidRPr="002077F6">
        <w:rPr>
          <w:sz w:val="24"/>
          <w:lang w:val="en-US"/>
        </w:rPr>
        <w:t>The antenna utilizes a PLA substr</w:t>
      </w:r>
      <w:r w:rsidR="002077F6">
        <w:rPr>
          <w:sz w:val="24"/>
          <w:lang w:val="en-US"/>
        </w:rPr>
        <w:t xml:space="preserve">ate </w:t>
      </w:r>
      <w:r w:rsidRPr="003B5F3B">
        <w:rPr>
          <w:sz w:val="24"/>
          <w:lang w:val="en-US"/>
        </w:rPr>
        <w:t xml:space="preserve">having a relative permittivity </w:t>
      </w:r>
      <w:r w:rsidR="002077F6">
        <w:rPr>
          <w:sz w:val="24"/>
          <w:lang w:val="en-US"/>
        </w:rPr>
        <w:t>(</w:t>
      </w:r>
      <w:r w:rsidR="002077F6" w:rsidRPr="00787FF7">
        <w:rPr>
          <w:rFonts w:ascii="Cambria Math" w:hAnsi="Cambria Math" w:cs="Cambria Math"/>
          <w:sz w:val="24"/>
          <w:lang w:val="en-US"/>
        </w:rPr>
        <w:t>𝜀</w:t>
      </w:r>
      <w:r w:rsidR="002077F6" w:rsidRPr="00787FF7">
        <w:rPr>
          <w:rFonts w:ascii="Cambria Math" w:hAnsi="Cambria Math" w:cs="Cambria Math"/>
          <w:sz w:val="24"/>
          <w:vertAlign w:val="subscript"/>
          <w:lang w:val="en-US"/>
        </w:rPr>
        <w:t>r</w:t>
      </w:r>
      <w:r w:rsidR="002077F6">
        <w:rPr>
          <w:rFonts w:ascii="Cambria Math" w:hAnsi="Cambria Math" w:cs="Cambria Math"/>
          <w:sz w:val="24"/>
          <w:lang w:val="en-US"/>
        </w:rPr>
        <w:t>)</w:t>
      </w:r>
      <w:r w:rsidR="002077F6">
        <w:rPr>
          <w:sz w:val="24"/>
          <w:lang w:val="en-US"/>
        </w:rPr>
        <w:t xml:space="preserve"> </w:t>
      </w:r>
      <w:r w:rsidR="002077F6" w:rsidRPr="002077F6">
        <w:rPr>
          <w:sz w:val="24"/>
          <w:lang w:val="en-US"/>
        </w:rPr>
        <w:t>of 2.8, chosen for its biocompatibility and ease of fabrication. The total dimensions of the antenna are</w:t>
      </w:r>
      <w:r w:rsidR="002077F6">
        <w:rPr>
          <w:sz w:val="24"/>
          <w:lang w:val="en-US"/>
        </w:rPr>
        <w:t xml:space="preserve"> </w:t>
      </w:r>
      <w:r w:rsidR="00787FF7" w:rsidRPr="00787FF7">
        <w:rPr>
          <w:sz w:val="24"/>
          <w:lang w:val="en-US"/>
        </w:rPr>
        <w:t>35×</w:t>
      </w:r>
      <w:r w:rsidR="00787FF7">
        <w:rPr>
          <w:sz w:val="24"/>
          <w:lang w:val="en-US"/>
        </w:rPr>
        <w:t>3</w:t>
      </w:r>
      <w:r w:rsidR="00787FF7" w:rsidRPr="00787FF7">
        <w:rPr>
          <w:sz w:val="24"/>
          <w:lang w:val="en-US"/>
        </w:rPr>
        <w:t>5×1.7</w:t>
      </w:r>
      <w:r w:rsidR="00787FF7">
        <w:rPr>
          <w:sz w:val="24"/>
          <w:lang w:val="en-US"/>
        </w:rPr>
        <w:t xml:space="preserve"> mm</w:t>
      </w:r>
      <w:r w:rsidR="00787FF7" w:rsidRPr="00787FF7">
        <w:rPr>
          <w:sz w:val="24"/>
          <w:vertAlign w:val="superscript"/>
          <w:lang w:val="en-US"/>
        </w:rPr>
        <w:t>3</w:t>
      </w:r>
      <w:r w:rsidR="00787FF7">
        <w:rPr>
          <w:sz w:val="24"/>
          <w:lang w:val="en-US"/>
        </w:rPr>
        <w:t xml:space="preserve"> as </w:t>
      </w:r>
      <w:r w:rsidR="002077F6" w:rsidRPr="002077F6">
        <w:rPr>
          <w:sz w:val="24"/>
          <w:lang w:val="en-US"/>
        </w:rPr>
        <w:t>illustrated</w:t>
      </w:r>
      <w:r w:rsidR="00787FF7">
        <w:rPr>
          <w:sz w:val="24"/>
          <w:lang w:val="en-US"/>
        </w:rPr>
        <w:t xml:space="preserve"> in Fig. 1. </w:t>
      </w:r>
      <w:r w:rsidR="00787FF7" w:rsidRPr="00787FF7">
        <w:rPr>
          <w:sz w:val="24"/>
          <w:lang w:val="en-US"/>
        </w:rPr>
        <w:t>Copper tape is used as the conductive material for its cost-effectiveness and high conductivity.</w:t>
      </w:r>
      <w:r w:rsidR="007F7949" w:rsidRPr="00C66488">
        <w:rPr>
          <w:sz w:val="24"/>
        </w:rPr>
        <w:t xml:space="preserve"> </w:t>
      </w:r>
      <w:r w:rsidR="00787FF7" w:rsidRPr="00787FF7">
        <w:rPr>
          <w:sz w:val="24"/>
        </w:rPr>
        <w:t>A modified ground plane with dimensions of 35×26.3</w:t>
      </w:r>
      <w:r w:rsidR="00787FF7">
        <w:rPr>
          <w:sz w:val="24"/>
        </w:rPr>
        <w:t xml:space="preserve"> </w:t>
      </w:r>
      <w:r w:rsidR="00787FF7" w:rsidRPr="00787FF7">
        <w:rPr>
          <w:sz w:val="24"/>
        </w:rPr>
        <w:t>is implemented to enhance the reflection coefficient</w:t>
      </w:r>
      <w:r w:rsidR="00787FF7">
        <w:rPr>
          <w:sz w:val="24"/>
        </w:rPr>
        <w:t xml:space="preserve">. </w:t>
      </w:r>
      <w:r w:rsidR="002077F6">
        <w:rPr>
          <w:sz w:val="24"/>
        </w:rPr>
        <w:t xml:space="preserve">The radiating patch features a </w:t>
      </w:r>
      <w:r w:rsidR="00504FA6">
        <w:rPr>
          <w:sz w:val="24"/>
        </w:rPr>
        <w:t xml:space="preserve">180° </w:t>
      </w:r>
      <w:r w:rsidR="002077F6">
        <w:rPr>
          <w:sz w:val="24"/>
        </w:rPr>
        <w:t xml:space="preserve">rotated </w:t>
      </w:r>
      <w:r w:rsidR="002077F6" w:rsidRPr="002077F6">
        <w:rPr>
          <w:sz w:val="24"/>
        </w:rPr>
        <w:t xml:space="preserve">U-shaped slot, which facilitates the generation of the higher frequency band while contributing to size reduction. Additionally, the ground plane includes a rectangular slot measuring 3mm×20 mm, designed to improve impedance matching and expand </w:t>
      </w:r>
      <w:r w:rsidR="002077F6" w:rsidRPr="002077F6">
        <w:rPr>
          <w:sz w:val="24"/>
        </w:rPr>
        <w:lastRenderedPageBreak/>
        <w:t>the bandwidth.</w:t>
      </w:r>
      <w:r w:rsidR="00787FF7">
        <w:rPr>
          <w:sz w:val="24"/>
        </w:rPr>
        <w:t xml:space="preserve"> </w:t>
      </w:r>
      <w:r w:rsidR="00964DFD" w:rsidRPr="00964DFD">
        <w:rPr>
          <w:sz w:val="24"/>
        </w:rPr>
        <w:t>For excitation, a microstrip inset feed line is implemented,</w:t>
      </w:r>
      <w:r w:rsidR="00964DFD">
        <w:rPr>
          <w:sz w:val="24"/>
        </w:rPr>
        <w:t xml:space="preserve"> having a feed width of 3.1 mm </w:t>
      </w:r>
      <w:r w:rsidR="00787FF7" w:rsidRPr="00787FF7">
        <w:rPr>
          <w:sz w:val="24"/>
        </w:rPr>
        <w:t>and length of</w:t>
      </w:r>
      <w:r w:rsidR="00787FF7">
        <w:rPr>
          <w:sz w:val="24"/>
        </w:rPr>
        <w:t xml:space="preserve"> </w:t>
      </w:r>
      <w:r w:rsidR="00787FF7" w:rsidRPr="00787FF7">
        <w:rPr>
          <w:sz w:val="24"/>
        </w:rPr>
        <w:t>14.6</w:t>
      </w:r>
      <w:r w:rsidR="00787FF7">
        <w:rPr>
          <w:sz w:val="24"/>
        </w:rPr>
        <w:t xml:space="preserve"> mm</w:t>
      </w:r>
      <w:r w:rsidR="00787FF7" w:rsidRPr="00787FF7">
        <w:rPr>
          <w:sz w:val="24"/>
        </w:rPr>
        <w:t>, ensuring effective power transfer and stable dual-band operation.</w:t>
      </w:r>
      <w:r w:rsidR="00787FF7">
        <w:rPr>
          <w:sz w:val="24"/>
        </w:rPr>
        <w:t xml:space="preserve"> </w:t>
      </w:r>
      <w:r w:rsidR="00787FF7" w:rsidRPr="00787FF7">
        <w:rPr>
          <w:sz w:val="24"/>
        </w:rPr>
        <w:t>This compact and sustainable design supports ISM band applications with effective performance in dual-band operations.</w:t>
      </w:r>
    </w:p>
    <w:p w14:paraId="7033DB62" w14:textId="77777777" w:rsidR="00183955" w:rsidRPr="00C66488" w:rsidRDefault="00183955" w:rsidP="00B757B4">
      <w:pPr>
        <w:pStyle w:val="IEEEParagraph"/>
        <w:ind w:firstLine="170"/>
        <w:rPr>
          <w:sz w:val="24"/>
          <w:lang w:val="en-GB"/>
        </w:rPr>
      </w:pPr>
    </w:p>
    <w:p w14:paraId="56752D60" w14:textId="77777777" w:rsidR="00B757B4" w:rsidRDefault="00B757B4" w:rsidP="00B757B4">
      <w:pPr>
        <w:pStyle w:val="IEEEParagraph"/>
        <w:ind w:firstLine="170"/>
        <w:rPr>
          <w:lang w:val="en-GB"/>
        </w:rPr>
      </w:pPr>
      <w:r>
        <w:rPr>
          <w:lang w:val="en-GB"/>
        </w:rPr>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5103"/>
      </w:tblGrid>
      <w:tr w:rsidR="0010677C" w14:paraId="32B16D37" w14:textId="77777777" w:rsidTr="0010677C">
        <w:tc>
          <w:tcPr>
            <w:tcW w:w="5172" w:type="dxa"/>
          </w:tcPr>
          <w:p w14:paraId="7C2A17B7" w14:textId="2F3F69AB" w:rsidR="0010677C" w:rsidRDefault="0010677C" w:rsidP="00B757B4">
            <w:pPr>
              <w:pStyle w:val="IEEEFigure"/>
            </w:pPr>
            <w:r w:rsidRPr="0010677C">
              <w:rPr>
                <w:noProof/>
                <w:lang w:val="tr-TR" w:eastAsia="tr-TR"/>
              </w:rPr>
              <w:drawing>
                <wp:inline distT="0" distB="0" distL="0" distR="0" wp14:anchorId="006497EE" wp14:editId="78700C71">
                  <wp:extent cx="2876578" cy="2880000"/>
                  <wp:effectExtent l="0" t="0" r="0" b="0"/>
                  <wp:docPr id="2" name="Resim 2" descr="C:\Users\MEHMET\Desktop\Dual_band_3d_anten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HMET\Desktop\Dual_band_3d_anten_to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6578" cy="2880000"/>
                          </a:xfrm>
                          <a:prstGeom prst="rect">
                            <a:avLst/>
                          </a:prstGeom>
                          <a:noFill/>
                          <a:ln>
                            <a:noFill/>
                          </a:ln>
                        </pic:spPr>
                      </pic:pic>
                    </a:graphicData>
                  </a:graphic>
                </wp:inline>
              </w:drawing>
            </w:r>
          </w:p>
        </w:tc>
        <w:tc>
          <w:tcPr>
            <w:tcW w:w="5173" w:type="dxa"/>
          </w:tcPr>
          <w:p w14:paraId="75DCCD00" w14:textId="5482D2F2" w:rsidR="0010677C" w:rsidRDefault="0010677C" w:rsidP="00B757B4">
            <w:pPr>
              <w:pStyle w:val="IEEEFigure"/>
            </w:pPr>
            <w:r w:rsidRPr="0010677C">
              <w:rPr>
                <w:noProof/>
                <w:lang w:val="tr-TR" w:eastAsia="tr-TR"/>
              </w:rPr>
              <w:drawing>
                <wp:inline distT="0" distB="0" distL="0" distR="0" wp14:anchorId="77A21259" wp14:editId="29F6B44F">
                  <wp:extent cx="2880000" cy="2880000"/>
                  <wp:effectExtent l="0" t="0" r="0" b="0"/>
                  <wp:docPr id="4" name="Resim 4" descr="C:\Users\MEHMET\Desktop\Dual_band_3d_anten_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HMET\Desktop\Dual_band_3d_anten_botto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tc>
      </w:tr>
      <w:tr w:rsidR="0010677C" w14:paraId="2EC58311" w14:textId="77777777" w:rsidTr="0010677C">
        <w:tc>
          <w:tcPr>
            <w:tcW w:w="5172" w:type="dxa"/>
          </w:tcPr>
          <w:p w14:paraId="5BB7A654" w14:textId="432C87B4" w:rsidR="0010677C" w:rsidRPr="0010677C" w:rsidRDefault="0010677C" w:rsidP="0010677C">
            <w:pPr>
              <w:pStyle w:val="IEEEFigure"/>
              <w:numPr>
                <w:ilvl w:val="0"/>
                <w:numId w:val="9"/>
              </w:numPr>
              <w:rPr>
                <w:sz w:val="20"/>
                <w:szCs w:val="20"/>
              </w:rPr>
            </w:pPr>
          </w:p>
        </w:tc>
        <w:tc>
          <w:tcPr>
            <w:tcW w:w="5173" w:type="dxa"/>
          </w:tcPr>
          <w:p w14:paraId="2F74CC11" w14:textId="14AF3E6B" w:rsidR="0010677C" w:rsidRPr="0010677C" w:rsidRDefault="0010677C" w:rsidP="0010677C">
            <w:pPr>
              <w:pStyle w:val="IEEEFigure"/>
              <w:numPr>
                <w:ilvl w:val="0"/>
                <w:numId w:val="9"/>
              </w:numPr>
              <w:rPr>
                <w:sz w:val="20"/>
                <w:szCs w:val="20"/>
              </w:rPr>
            </w:pPr>
          </w:p>
        </w:tc>
      </w:tr>
    </w:tbl>
    <w:p w14:paraId="760620F6" w14:textId="3018ABC1" w:rsidR="00B757B4" w:rsidRDefault="00D06413" w:rsidP="00787FF7">
      <w:pPr>
        <w:pStyle w:val="IEEEFigureCaptionSingle-Line"/>
        <w:rPr>
          <w:sz w:val="20"/>
        </w:rPr>
      </w:pPr>
      <w:r>
        <w:rPr>
          <w:sz w:val="20"/>
        </w:rPr>
        <w:t>Fig. 1</w:t>
      </w:r>
      <w:r w:rsidR="00787FF7" w:rsidRPr="00787FF7">
        <w:rPr>
          <w:sz w:val="20"/>
        </w:rPr>
        <w:t xml:space="preserve">. The proposed dual-band </w:t>
      </w:r>
      <w:r w:rsidR="0010677C">
        <w:rPr>
          <w:sz w:val="20"/>
        </w:rPr>
        <w:t>3D printed</w:t>
      </w:r>
      <w:r w:rsidR="00787FF7" w:rsidRPr="00787FF7">
        <w:rPr>
          <w:sz w:val="20"/>
        </w:rPr>
        <w:t xml:space="preserve"> antenna</w:t>
      </w:r>
      <w:r w:rsidR="0010677C">
        <w:rPr>
          <w:sz w:val="20"/>
        </w:rPr>
        <w:t>:</w:t>
      </w:r>
      <w:r w:rsidR="00787FF7" w:rsidRPr="00787FF7">
        <w:rPr>
          <w:sz w:val="20"/>
        </w:rPr>
        <w:t xml:space="preserve"> (a) Top view, (b) Bottom</w:t>
      </w:r>
      <w:r w:rsidR="0010677C">
        <w:rPr>
          <w:sz w:val="20"/>
        </w:rPr>
        <w:t xml:space="preserve"> </w:t>
      </w:r>
      <w:r w:rsidR="00787FF7" w:rsidRPr="00787FF7">
        <w:rPr>
          <w:sz w:val="20"/>
        </w:rPr>
        <w:t>view</w:t>
      </w:r>
    </w:p>
    <w:p w14:paraId="55EBC1EF" w14:textId="77777777" w:rsidR="00CA5E8A" w:rsidRPr="00CA5E8A" w:rsidRDefault="00CA5E8A" w:rsidP="00CA5E8A">
      <w:pPr>
        <w:pStyle w:val="IEEEParagraph"/>
      </w:pPr>
    </w:p>
    <w:p w14:paraId="50987ADF" w14:textId="07FA1525" w:rsidR="00A443BC" w:rsidRPr="00C66488" w:rsidRDefault="0010677C" w:rsidP="00A443BC">
      <w:pPr>
        <w:pStyle w:val="IEEEHeading2"/>
        <w:rPr>
          <w:sz w:val="24"/>
        </w:rPr>
      </w:pPr>
      <w:r>
        <w:rPr>
          <w:sz w:val="24"/>
        </w:rPr>
        <w:t xml:space="preserve">Design Methodology </w:t>
      </w:r>
    </w:p>
    <w:p w14:paraId="39634727" w14:textId="05D9F8A2" w:rsidR="00FD6C0E" w:rsidRDefault="00FD6C0E" w:rsidP="00FD6C0E">
      <w:pPr>
        <w:pStyle w:val="IEEEParagraph"/>
        <w:ind w:firstLine="170"/>
        <w:rPr>
          <w:sz w:val="24"/>
        </w:rPr>
      </w:pPr>
      <w:r w:rsidRPr="00FD6C0E">
        <w:rPr>
          <w:sz w:val="24"/>
        </w:rPr>
        <w:t xml:space="preserve">The design methodology of the proposed antenna follows a systematic approach to achieve efficient performance at the target </w:t>
      </w:r>
      <w:r w:rsidR="00AB2F38">
        <w:rPr>
          <w:sz w:val="24"/>
        </w:rPr>
        <w:t>2.45</w:t>
      </w:r>
      <w:r w:rsidRPr="00FD6C0E">
        <w:rPr>
          <w:sz w:val="24"/>
        </w:rPr>
        <w:t xml:space="preserve"> GHz and 5.8 GHz</w:t>
      </w:r>
      <w:r w:rsidR="00964DFD">
        <w:rPr>
          <w:sz w:val="24"/>
        </w:rPr>
        <w:t xml:space="preserve"> </w:t>
      </w:r>
      <w:r w:rsidR="00964DFD" w:rsidRPr="00FD6C0E">
        <w:rPr>
          <w:sz w:val="24"/>
        </w:rPr>
        <w:t>frequencies</w:t>
      </w:r>
      <w:r w:rsidRPr="00FD6C0E">
        <w:rPr>
          <w:sz w:val="24"/>
        </w:rPr>
        <w:t xml:space="preserve">. The design process starts with selecting an appropriate substrate material, ensuring optimal electrical and mechanical properties. For this </w:t>
      </w:r>
      <w:r>
        <w:rPr>
          <w:sz w:val="24"/>
        </w:rPr>
        <w:t>study</w:t>
      </w:r>
      <w:r w:rsidRPr="00FD6C0E">
        <w:rPr>
          <w:sz w:val="24"/>
        </w:rPr>
        <w:t xml:space="preserve">, a biodegradable material PLA with a dielectric constant </w:t>
      </w:r>
      <w:r>
        <w:rPr>
          <w:sz w:val="24"/>
        </w:rPr>
        <w:t>of 2.8 and a thickness of 1.7 mm</w:t>
      </w:r>
      <w:r w:rsidRPr="00FD6C0E">
        <w:rPr>
          <w:sz w:val="24"/>
        </w:rPr>
        <w:t xml:space="preserve"> was selected. PLA's eco-friendly nature and suitability for 3D printing make it an ideal choice for this design.</w:t>
      </w:r>
    </w:p>
    <w:p w14:paraId="41B24B9A" w14:textId="5155E9F4" w:rsidR="0010677C" w:rsidRDefault="00935B85" w:rsidP="002059DD">
      <w:pPr>
        <w:pStyle w:val="IEEEParagraph"/>
        <w:ind w:firstLine="170"/>
        <w:rPr>
          <w:sz w:val="24"/>
        </w:rPr>
      </w:pPr>
      <w:r w:rsidRPr="00935B85">
        <w:rPr>
          <w:sz w:val="24"/>
        </w:rPr>
        <w:t>The design of the pr</w:t>
      </w:r>
      <w:r w:rsidR="00964DFD">
        <w:rPr>
          <w:sz w:val="24"/>
        </w:rPr>
        <w:t xml:space="preserve">esented </w:t>
      </w:r>
      <w:r w:rsidRPr="00935B85">
        <w:rPr>
          <w:sz w:val="24"/>
        </w:rPr>
        <w:t>antenna begins by utilizing traditional patch antenna equations to determine the initial dimensions of the patch. These equations serve as the foundation for the optimization process and are essential for achieving efficient resonance at the target frequencies</w:t>
      </w:r>
      <w:r>
        <w:rPr>
          <w:sz w:val="24"/>
        </w:rPr>
        <w:t xml:space="preserve"> </w:t>
      </w:r>
      <w:r>
        <w:rPr>
          <w:sz w:val="24"/>
        </w:rPr>
        <w:fldChar w:fldCharType="begin"/>
      </w:r>
      <w:r w:rsidR="006912C7">
        <w:rPr>
          <w:sz w:val="24"/>
        </w:rPr>
        <w:instrText xml:space="preserve"> ADDIN EN.CITE &lt;EndNote&gt;&lt;Cite&gt;&lt;Author&gt;Balanis&lt;/Author&gt;&lt;Year&gt;2015&lt;/Year&gt;&lt;RecNum&gt;9&lt;/RecNum&gt;&lt;DisplayText&gt;[9]&lt;/DisplayText&gt;&lt;record&gt;&lt;rec-number&gt;9&lt;/rec-number&gt;&lt;foreign-keys&gt;&lt;key app="EN" db-id="x09rref955pwziett20vds0merwawtxseszv" timestamp="1733825066"&gt;9&lt;/key&gt;&lt;/foreign-keys&gt;&lt;ref-type name="Book"&gt;6&lt;/ref-type&gt;&lt;contributors&gt;&lt;authors&gt;&lt;author&gt;Balanis, Constantine A&lt;/author&gt;&lt;/authors&gt;&lt;/contributors&gt;&lt;titles&gt;&lt;title&gt;Antenna theory: analysis and design&lt;/title&gt;&lt;/titles&gt;&lt;dates&gt;&lt;year&gt;2015&lt;/year&gt;&lt;/dates&gt;&lt;publisher&gt;John wiley &amp;amp; sons&lt;/publisher&gt;&lt;isbn&gt;1119178991&lt;/isbn&gt;&lt;urls&gt;&lt;/urls&gt;&lt;/record&gt;&lt;/Cite&gt;&lt;/EndNote&gt;</w:instrText>
      </w:r>
      <w:r>
        <w:rPr>
          <w:sz w:val="24"/>
        </w:rPr>
        <w:fldChar w:fldCharType="separate"/>
      </w:r>
      <w:r w:rsidR="006912C7">
        <w:rPr>
          <w:noProof/>
          <w:sz w:val="24"/>
        </w:rPr>
        <w:t>[9]</w:t>
      </w:r>
      <w:r>
        <w:rPr>
          <w:sz w:val="24"/>
        </w:rPr>
        <w:fldChar w:fldCharType="end"/>
      </w:r>
      <w:r w:rsidRPr="00935B85">
        <w:rPr>
          <w:sz w:val="24"/>
        </w:rPr>
        <w:t>.</w:t>
      </w:r>
      <w:r w:rsidR="002059DD">
        <w:rPr>
          <w:sz w:val="24"/>
        </w:rPr>
        <w:t xml:space="preserve"> Fi</w:t>
      </w:r>
      <w:r w:rsidR="006912C7">
        <w:rPr>
          <w:sz w:val="24"/>
        </w:rPr>
        <w:t>r</w:t>
      </w:r>
      <w:r w:rsidR="002059DD">
        <w:rPr>
          <w:sz w:val="24"/>
        </w:rPr>
        <w:t>stly, t</w:t>
      </w:r>
      <w:r w:rsidR="002059DD" w:rsidRPr="002059DD">
        <w:rPr>
          <w:sz w:val="24"/>
        </w:rPr>
        <w:t>he patch width (</w:t>
      </w:r>
      <w:r w:rsidR="002059DD" w:rsidRPr="002059DD">
        <w:rPr>
          <w:rFonts w:ascii="Cambria Math" w:hAnsi="Cambria Math" w:cs="Cambria Math"/>
          <w:i/>
          <w:sz w:val="24"/>
        </w:rPr>
        <w:t>W</w:t>
      </w:r>
      <w:r w:rsidR="002059DD" w:rsidRPr="002059DD">
        <w:rPr>
          <w:rFonts w:ascii="Cambria Math" w:hAnsi="Cambria Math" w:cs="Cambria Math"/>
          <w:i/>
          <w:sz w:val="24"/>
          <w:vertAlign w:val="subscript"/>
        </w:rPr>
        <w:t>p</w:t>
      </w:r>
      <w:r w:rsidR="002059DD" w:rsidRPr="002059DD">
        <w:rPr>
          <w:sz w:val="24"/>
        </w:rPr>
        <w:t>) can be calculated using the following equation:</w:t>
      </w:r>
    </w:p>
    <w:p w14:paraId="3930D107" w14:textId="194D18BE" w:rsidR="002059DD" w:rsidRPr="002059DD" w:rsidRDefault="00000000" w:rsidP="002059DD">
      <w:pPr>
        <w:pStyle w:val="IEEEParagraph"/>
        <w:ind w:firstLine="170"/>
        <w:jc w:val="right"/>
        <w:rPr>
          <w:sz w:val="24"/>
        </w:rPr>
      </w:pPr>
      <m:oMath>
        <m:sSub>
          <m:sSubPr>
            <m:ctrlPr>
              <w:rPr>
                <w:rFonts w:ascii="Cambria Math" w:hAnsi="Cambria Math"/>
                <w:i/>
                <w:sz w:val="24"/>
              </w:rPr>
            </m:ctrlPr>
          </m:sSubPr>
          <m:e>
            <m:r>
              <w:rPr>
                <w:rFonts w:ascii="Cambria Math" w:hAnsi="Cambria Math"/>
                <w:sz w:val="24"/>
              </w:rPr>
              <m:t>W</m:t>
            </m:r>
          </m:e>
          <m:sub>
            <m:r>
              <w:rPr>
                <w:rFonts w:ascii="Cambria Math" w:hAnsi="Cambria Math"/>
                <w:sz w:val="24"/>
              </w:rPr>
              <m:t>p</m:t>
            </m:r>
          </m:sub>
        </m:sSub>
        <m:r>
          <w:rPr>
            <w:rFonts w:ascii="Cambria Math" w:hAnsi="Cambria Math"/>
            <w:sz w:val="24"/>
          </w:rPr>
          <m:t>=</m:t>
        </m:r>
        <m:f>
          <m:fPr>
            <m:ctrlPr>
              <w:rPr>
                <w:rFonts w:ascii="Cambria Math" w:hAnsi="Cambria Math"/>
                <w:i/>
                <w:sz w:val="24"/>
              </w:rPr>
            </m:ctrlPr>
          </m:fPr>
          <m:num>
            <m:r>
              <w:rPr>
                <w:rFonts w:ascii="Cambria Math" w:hAnsi="Cambria Math"/>
                <w:sz w:val="24"/>
              </w:rPr>
              <m:t>c</m:t>
            </m:r>
          </m:num>
          <m:den>
            <m:r>
              <w:rPr>
                <w:rFonts w:ascii="Cambria Math" w:hAnsi="Cambria Math"/>
                <w:sz w:val="24"/>
              </w:rPr>
              <m:t>2</m:t>
            </m:r>
            <m:sSub>
              <m:sSubPr>
                <m:ctrlPr>
                  <w:rPr>
                    <w:rFonts w:ascii="Cambria Math" w:hAnsi="Cambria Math"/>
                    <w:i/>
                    <w:sz w:val="24"/>
                  </w:rPr>
                </m:ctrlPr>
              </m:sSubPr>
              <m:e>
                <m:r>
                  <w:rPr>
                    <w:rFonts w:ascii="Cambria Math" w:hAnsi="Cambria Math"/>
                    <w:sz w:val="24"/>
                  </w:rPr>
                  <m:t>f</m:t>
                </m:r>
              </m:e>
              <m:sub>
                <m:r>
                  <w:rPr>
                    <w:rFonts w:ascii="Cambria Math" w:hAnsi="Cambria Math"/>
                    <w:sz w:val="24"/>
                  </w:rPr>
                  <m:t>r</m:t>
                </m:r>
              </m:sub>
            </m:sSub>
            <m:rad>
              <m:radPr>
                <m:degHide m:val="1"/>
                <m:ctrlPr>
                  <w:rPr>
                    <w:rFonts w:ascii="Cambria Math" w:hAnsi="Cambria Math"/>
                    <w:i/>
                    <w:sz w:val="24"/>
                  </w:rPr>
                </m:ctrlPr>
              </m:radPr>
              <m:deg/>
              <m:e>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ε</m:t>
                        </m:r>
                      </m:e>
                      <m:sub>
                        <m:r>
                          <w:rPr>
                            <w:rFonts w:ascii="Cambria Math" w:hAnsi="Cambria Math"/>
                            <w:sz w:val="24"/>
                          </w:rPr>
                          <m:t>r</m:t>
                        </m:r>
                      </m:sub>
                    </m:sSub>
                    <m:r>
                      <w:rPr>
                        <w:rFonts w:ascii="Cambria Math" w:hAnsi="Cambria Math"/>
                        <w:sz w:val="24"/>
                      </w:rPr>
                      <m:t>+1</m:t>
                    </m:r>
                  </m:num>
                  <m:den>
                    <m:r>
                      <w:rPr>
                        <w:rFonts w:ascii="Cambria Math" w:hAnsi="Cambria Math"/>
                        <w:sz w:val="24"/>
                      </w:rPr>
                      <m:t>2</m:t>
                    </m:r>
                  </m:den>
                </m:f>
              </m:e>
            </m:rad>
          </m:den>
        </m:f>
      </m:oMath>
      <w:r w:rsidR="002059DD">
        <w:rPr>
          <w:sz w:val="24"/>
        </w:rPr>
        <w:t xml:space="preserve"> </w:t>
      </w:r>
      <w:r w:rsidR="002059DD">
        <w:rPr>
          <w:sz w:val="24"/>
        </w:rPr>
        <w:tab/>
      </w:r>
      <w:r w:rsidR="002059DD">
        <w:rPr>
          <w:sz w:val="24"/>
        </w:rPr>
        <w:tab/>
      </w:r>
      <w:r w:rsidR="002059DD">
        <w:rPr>
          <w:sz w:val="24"/>
        </w:rPr>
        <w:tab/>
      </w:r>
      <w:r w:rsidR="002059DD">
        <w:rPr>
          <w:sz w:val="24"/>
        </w:rPr>
        <w:tab/>
      </w:r>
      <w:r w:rsidR="002059DD">
        <w:rPr>
          <w:sz w:val="24"/>
        </w:rPr>
        <w:tab/>
      </w:r>
      <w:r w:rsidR="002059DD">
        <w:rPr>
          <w:sz w:val="24"/>
        </w:rPr>
        <w:tab/>
        <w:t>(1)</w:t>
      </w:r>
    </w:p>
    <w:p w14:paraId="2078E347" w14:textId="2F068E22" w:rsidR="002059DD" w:rsidRDefault="009C1E89" w:rsidP="00935B85">
      <w:pPr>
        <w:pStyle w:val="IEEEParagraph"/>
        <w:ind w:firstLine="170"/>
        <w:rPr>
          <w:sz w:val="24"/>
        </w:rPr>
      </w:pPr>
      <w:r w:rsidRPr="009C1E89">
        <w:rPr>
          <w:sz w:val="24"/>
        </w:rPr>
        <w:t xml:space="preserve">Here, </w:t>
      </w:r>
      <w:r w:rsidRPr="009C1E89">
        <w:rPr>
          <w:rFonts w:ascii="Cambria Math" w:hAnsi="Cambria Math" w:cs="Cambria Math"/>
          <w:sz w:val="24"/>
        </w:rPr>
        <w:t>𝑐</w:t>
      </w:r>
      <w:r w:rsidRPr="009C1E89">
        <w:rPr>
          <w:sz w:val="24"/>
        </w:rPr>
        <w:t xml:space="preserve"> </w:t>
      </w:r>
      <w:r w:rsidR="00964DFD">
        <w:rPr>
          <w:sz w:val="24"/>
        </w:rPr>
        <w:t xml:space="preserve">denotes </w:t>
      </w:r>
      <w:r w:rsidRPr="009C1E89">
        <w:rPr>
          <w:sz w:val="24"/>
        </w:rPr>
        <w:t xml:space="preserve">the </w:t>
      </w:r>
      <w:r w:rsidR="00964DFD" w:rsidRPr="00964DFD">
        <w:rPr>
          <w:sz w:val="24"/>
        </w:rPr>
        <w:t>velocity</w:t>
      </w:r>
      <w:r w:rsidR="00964DFD">
        <w:rPr>
          <w:sz w:val="24"/>
        </w:rPr>
        <w:t xml:space="preserve"> </w:t>
      </w:r>
      <w:r w:rsidRPr="009C1E89">
        <w:rPr>
          <w:sz w:val="24"/>
        </w:rPr>
        <w:t xml:space="preserve">of light in </w:t>
      </w:r>
      <w:r w:rsidR="00964DFD">
        <w:rPr>
          <w:sz w:val="24"/>
        </w:rPr>
        <w:t>free space</w:t>
      </w:r>
      <w:r>
        <w:rPr>
          <w:sz w:val="24"/>
        </w:rPr>
        <w:t xml:space="preserve"> </w:t>
      </w:r>
      <w:r w:rsidR="002059DD" w:rsidRPr="002059DD">
        <w:rPr>
          <w:sz w:val="24"/>
        </w:rPr>
        <w:t xml:space="preserve">(3×10 8 m/s), </w:t>
      </w:r>
      <w:r w:rsidR="002059DD">
        <w:rPr>
          <w:rFonts w:ascii="Cambria Math" w:hAnsi="Cambria Math" w:cs="Cambria Math"/>
          <w:i/>
          <w:sz w:val="24"/>
        </w:rPr>
        <w:t>f</w:t>
      </w:r>
      <w:r w:rsidR="002059DD" w:rsidRPr="002059DD">
        <w:rPr>
          <w:rFonts w:ascii="Cambria Math" w:hAnsi="Cambria Math" w:cs="Cambria Math"/>
          <w:i/>
          <w:sz w:val="24"/>
          <w:vertAlign w:val="subscript"/>
        </w:rPr>
        <w:t>r</w:t>
      </w:r>
      <w:r w:rsidR="002059DD" w:rsidRPr="002059DD">
        <w:rPr>
          <w:rFonts w:ascii="Cambria Math" w:hAnsi="Cambria Math" w:cs="Cambria Math"/>
          <w:i/>
          <w:sz w:val="24"/>
        </w:rPr>
        <w:t xml:space="preserve"> ​</w:t>
      </w:r>
      <w:r w:rsidR="002059DD" w:rsidRPr="002059DD">
        <w:rPr>
          <w:sz w:val="24"/>
        </w:rPr>
        <w:t xml:space="preserve"> </w:t>
      </w:r>
      <w:r>
        <w:rPr>
          <w:sz w:val="24"/>
        </w:rPr>
        <w:t>denotes the resonant frequency</w:t>
      </w:r>
      <w:r w:rsidRPr="009C1E89">
        <w:rPr>
          <w:sz w:val="24"/>
        </w:rPr>
        <w:t xml:space="preserve"> and</w:t>
      </w:r>
      <w:r>
        <w:rPr>
          <w:sz w:val="24"/>
        </w:rPr>
        <w:t xml:space="preserve"> </w:t>
      </w:r>
      <w:r w:rsidR="002059DD" w:rsidRPr="002059DD">
        <w:rPr>
          <w:rFonts w:ascii="Cambria Math" w:hAnsi="Cambria Math"/>
          <w:sz w:val="24"/>
        </w:rPr>
        <w:t>ε</w:t>
      </w:r>
      <w:r w:rsidR="002059DD" w:rsidRPr="002059DD">
        <w:rPr>
          <w:rFonts w:ascii="Cambria Math" w:hAnsi="Cambria Math"/>
          <w:sz w:val="24"/>
          <w:vertAlign w:val="subscript"/>
        </w:rPr>
        <w:t>r</w:t>
      </w:r>
      <w:r w:rsidR="002059DD" w:rsidRPr="002059DD">
        <w:rPr>
          <w:sz w:val="24"/>
        </w:rPr>
        <w:t xml:space="preserve"> ​ </w:t>
      </w:r>
      <w:r w:rsidRPr="009C1E89">
        <w:rPr>
          <w:sz w:val="24"/>
        </w:rPr>
        <w:t xml:space="preserve">indicates </w:t>
      </w:r>
      <w:r w:rsidR="00964DFD" w:rsidRPr="00964DFD">
        <w:rPr>
          <w:sz w:val="24"/>
        </w:rPr>
        <w:t>the substrate's relative dielectric constant</w:t>
      </w:r>
      <w:r w:rsidR="002059DD" w:rsidRPr="002059DD">
        <w:rPr>
          <w:sz w:val="24"/>
        </w:rPr>
        <w:t>.</w:t>
      </w:r>
      <w:r w:rsidR="00C00257">
        <w:rPr>
          <w:sz w:val="24"/>
        </w:rPr>
        <w:t xml:space="preserve"> </w:t>
      </w:r>
      <w:r w:rsidR="00C00257" w:rsidRPr="00C00257">
        <w:rPr>
          <w:sz w:val="24"/>
        </w:rPr>
        <w:t>This equation provides the fundamental width of the patch, which is essential for establishing resonance at the desired frequency.</w:t>
      </w:r>
      <w:r w:rsidR="00935B85">
        <w:rPr>
          <w:sz w:val="24"/>
        </w:rPr>
        <w:t xml:space="preserve"> Next</w:t>
      </w:r>
      <w:r w:rsidR="002059DD">
        <w:rPr>
          <w:sz w:val="24"/>
        </w:rPr>
        <w:t>, t</w:t>
      </w:r>
      <w:r w:rsidR="002059DD" w:rsidRPr="002059DD">
        <w:rPr>
          <w:sz w:val="24"/>
        </w:rPr>
        <w:t xml:space="preserve">he </w:t>
      </w:r>
      <w:r w:rsidR="002059DD">
        <w:rPr>
          <w:sz w:val="24"/>
        </w:rPr>
        <w:t>effective dielectric constant (</w:t>
      </w:r>
      <w:r w:rsidR="002059DD" w:rsidRPr="002059DD">
        <w:rPr>
          <w:rFonts w:ascii="Cambria Math" w:hAnsi="Cambria Math" w:cs="Cambria Math"/>
          <w:sz w:val="24"/>
        </w:rPr>
        <w:t>𝜀</w:t>
      </w:r>
      <w:r w:rsidR="002059DD" w:rsidRPr="002059DD">
        <w:rPr>
          <w:sz w:val="24"/>
          <w:vertAlign w:val="subscript"/>
        </w:rPr>
        <w:t>eff</w:t>
      </w:r>
      <w:r w:rsidR="002059DD" w:rsidRPr="002059DD">
        <w:rPr>
          <w:sz w:val="24"/>
        </w:rPr>
        <w:t xml:space="preserve">) is </w:t>
      </w:r>
      <w:r w:rsidR="00935B85" w:rsidRPr="00935B85">
        <w:rPr>
          <w:sz w:val="24"/>
        </w:rPr>
        <w:t>calculated to account for the e</w:t>
      </w:r>
      <w:r w:rsidR="00935B85">
        <w:rPr>
          <w:sz w:val="24"/>
        </w:rPr>
        <w:t>ffects of the substrate height (</w:t>
      </w:r>
      <w:r w:rsidR="002059DD">
        <w:rPr>
          <w:sz w:val="24"/>
        </w:rPr>
        <w:t>ℎ), dielectric constant (</w:t>
      </w:r>
      <w:r w:rsidR="002059DD" w:rsidRPr="002059DD">
        <w:rPr>
          <w:rFonts w:ascii="Cambria Math" w:hAnsi="Cambria Math"/>
          <w:sz w:val="24"/>
        </w:rPr>
        <w:t>ε</w:t>
      </w:r>
      <w:r w:rsidR="002059DD" w:rsidRPr="002059DD">
        <w:rPr>
          <w:rFonts w:ascii="Cambria Math" w:hAnsi="Cambria Math"/>
          <w:sz w:val="24"/>
          <w:vertAlign w:val="subscript"/>
        </w:rPr>
        <w:t>r</w:t>
      </w:r>
      <w:r w:rsidR="002059DD" w:rsidRPr="002059DD">
        <w:rPr>
          <w:sz w:val="24"/>
        </w:rPr>
        <w:t>), and the calculated patch width (</w:t>
      </w:r>
      <w:r w:rsidR="002059DD" w:rsidRPr="002059DD">
        <w:rPr>
          <w:rFonts w:ascii="Cambria Math" w:hAnsi="Cambria Math" w:cs="Cambria Math"/>
          <w:i/>
          <w:sz w:val="24"/>
        </w:rPr>
        <w:t>W</w:t>
      </w:r>
      <w:r w:rsidR="002059DD" w:rsidRPr="002059DD">
        <w:rPr>
          <w:rFonts w:ascii="Cambria Math" w:hAnsi="Cambria Math" w:cs="Cambria Math"/>
          <w:i/>
          <w:sz w:val="24"/>
          <w:vertAlign w:val="subscript"/>
        </w:rPr>
        <w:t>p</w:t>
      </w:r>
      <w:r w:rsidR="00935B85">
        <w:rPr>
          <w:sz w:val="24"/>
        </w:rPr>
        <w:t>).</w:t>
      </w:r>
      <w:r w:rsidR="00935B85" w:rsidRPr="00935B85">
        <w:rPr>
          <w:sz w:val="24"/>
        </w:rPr>
        <w:t xml:space="preserve"> This is given by the equation:</w:t>
      </w:r>
    </w:p>
    <w:p w14:paraId="21A25FF6" w14:textId="0D29232A" w:rsidR="002059DD" w:rsidRDefault="00000000" w:rsidP="002059DD">
      <w:pPr>
        <w:pStyle w:val="IEEEParagraph"/>
        <w:ind w:firstLine="170"/>
        <w:jc w:val="right"/>
        <w:rPr>
          <w:sz w:val="24"/>
        </w:rPr>
      </w:pPr>
      <m:oMath>
        <m:sSub>
          <m:sSubPr>
            <m:ctrlPr>
              <w:rPr>
                <w:rFonts w:ascii="Cambria Math" w:hAnsi="Cambria Math"/>
                <w:i/>
                <w:sz w:val="24"/>
              </w:rPr>
            </m:ctrlPr>
          </m:sSubPr>
          <m:e>
            <m:r>
              <w:rPr>
                <w:rFonts w:ascii="Cambria Math" w:hAnsi="Cambria Math"/>
                <w:sz w:val="24"/>
              </w:rPr>
              <m:t>ε</m:t>
            </m:r>
          </m:e>
          <m:sub>
            <m:r>
              <w:rPr>
                <w:rFonts w:ascii="Cambria Math" w:hAnsi="Cambria Math"/>
                <w:sz w:val="24"/>
              </w:rPr>
              <m:t>eff</m:t>
            </m:r>
          </m:sub>
        </m:sSub>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ε</m:t>
                </m:r>
              </m:e>
              <m:sub>
                <m:r>
                  <w:rPr>
                    <w:rFonts w:ascii="Cambria Math" w:hAnsi="Cambria Math"/>
                    <w:sz w:val="24"/>
                  </w:rPr>
                  <m:t>r</m:t>
                </m:r>
              </m:sub>
            </m:sSub>
            <m:r>
              <w:rPr>
                <w:rFonts w:ascii="Cambria Math" w:hAnsi="Cambria Math"/>
                <w:sz w:val="24"/>
              </w:rPr>
              <m:t>+1</m:t>
            </m:r>
          </m:num>
          <m:den>
            <m:r>
              <w:rPr>
                <w:rFonts w:ascii="Cambria Math" w:hAnsi="Cambria Math"/>
                <w:sz w:val="24"/>
              </w:rPr>
              <m:t>2</m:t>
            </m:r>
          </m:den>
        </m:f>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ε</m:t>
                </m:r>
              </m:e>
              <m:sub>
                <m:r>
                  <w:rPr>
                    <w:rFonts w:ascii="Cambria Math" w:hAnsi="Cambria Math"/>
                    <w:sz w:val="24"/>
                  </w:rPr>
                  <m:t>r</m:t>
                </m:r>
              </m:sub>
            </m:sSub>
            <m:r>
              <w:rPr>
                <w:rFonts w:ascii="Cambria Math" w:hAnsi="Cambria Math"/>
                <w:sz w:val="24"/>
              </w:rPr>
              <m:t>-1</m:t>
            </m:r>
          </m:num>
          <m:den>
            <m:r>
              <w:rPr>
                <w:rFonts w:ascii="Cambria Math" w:hAnsi="Cambria Math"/>
                <w:sz w:val="24"/>
              </w:rPr>
              <m:t>2</m:t>
            </m:r>
          </m:den>
        </m:f>
        <m:f>
          <m:fPr>
            <m:ctrlPr>
              <w:rPr>
                <w:rFonts w:ascii="Cambria Math" w:hAnsi="Cambria Math"/>
                <w:i/>
                <w:sz w:val="24"/>
              </w:rPr>
            </m:ctrlPr>
          </m:fPr>
          <m:num>
            <m:r>
              <w:rPr>
                <w:rFonts w:ascii="Cambria Math" w:hAnsi="Cambria Math"/>
                <w:sz w:val="24"/>
              </w:rPr>
              <m:t>1</m:t>
            </m:r>
          </m:num>
          <m:den>
            <m:rad>
              <m:radPr>
                <m:degHide m:val="1"/>
                <m:ctrlPr>
                  <w:rPr>
                    <w:rFonts w:ascii="Cambria Math" w:hAnsi="Cambria Math"/>
                    <w:i/>
                    <w:sz w:val="24"/>
                  </w:rPr>
                </m:ctrlPr>
              </m:radPr>
              <m:deg/>
              <m:e>
                <m:r>
                  <w:rPr>
                    <w:rFonts w:ascii="Cambria Math" w:hAnsi="Cambria Math"/>
                    <w:sz w:val="24"/>
                  </w:rPr>
                  <m:t>1+</m:t>
                </m:r>
                <m:f>
                  <m:fPr>
                    <m:ctrlPr>
                      <w:rPr>
                        <w:rFonts w:ascii="Cambria Math" w:hAnsi="Cambria Math"/>
                        <w:i/>
                        <w:sz w:val="24"/>
                      </w:rPr>
                    </m:ctrlPr>
                  </m:fPr>
                  <m:num>
                    <m:r>
                      <w:rPr>
                        <w:rFonts w:ascii="Cambria Math" w:hAnsi="Cambria Math"/>
                        <w:sz w:val="24"/>
                      </w:rPr>
                      <m:t>12</m:t>
                    </m:r>
                    <m:r>
                      <w:rPr>
                        <w:rFonts w:ascii="Cambria Math" w:hAnsi="Cambria Math"/>
                        <w:sz w:val="24"/>
                      </w:rPr>
                      <m:t>h</m:t>
                    </m:r>
                  </m:num>
                  <m:den>
                    <m:sSub>
                      <m:sSubPr>
                        <m:ctrlPr>
                          <w:rPr>
                            <w:rFonts w:ascii="Cambria Math" w:hAnsi="Cambria Math"/>
                            <w:i/>
                            <w:sz w:val="24"/>
                          </w:rPr>
                        </m:ctrlPr>
                      </m:sSubPr>
                      <m:e>
                        <m:r>
                          <w:rPr>
                            <w:rFonts w:ascii="Cambria Math" w:hAnsi="Cambria Math"/>
                            <w:sz w:val="24"/>
                          </w:rPr>
                          <m:t>W</m:t>
                        </m:r>
                      </m:e>
                      <m:sub>
                        <m:r>
                          <w:rPr>
                            <w:rFonts w:ascii="Cambria Math" w:hAnsi="Cambria Math"/>
                            <w:sz w:val="24"/>
                          </w:rPr>
                          <m:t>p</m:t>
                        </m:r>
                      </m:sub>
                    </m:sSub>
                  </m:den>
                </m:f>
              </m:e>
            </m:rad>
          </m:den>
        </m:f>
      </m:oMath>
      <w:r w:rsidR="002059DD">
        <w:rPr>
          <w:sz w:val="24"/>
        </w:rPr>
        <w:t xml:space="preserve"> </w:t>
      </w:r>
      <w:r w:rsidR="002059DD">
        <w:rPr>
          <w:sz w:val="24"/>
        </w:rPr>
        <w:tab/>
      </w:r>
      <w:r w:rsidR="002059DD">
        <w:rPr>
          <w:sz w:val="24"/>
        </w:rPr>
        <w:tab/>
      </w:r>
      <w:r w:rsidR="002059DD">
        <w:rPr>
          <w:sz w:val="24"/>
        </w:rPr>
        <w:tab/>
      </w:r>
      <w:r w:rsidR="002059DD">
        <w:rPr>
          <w:sz w:val="24"/>
        </w:rPr>
        <w:tab/>
      </w:r>
      <w:r w:rsidR="002059DD">
        <w:rPr>
          <w:sz w:val="24"/>
        </w:rPr>
        <w:tab/>
      </w:r>
      <w:r w:rsidR="002059DD">
        <w:rPr>
          <w:sz w:val="24"/>
        </w:rPr>
        <w:tab/>
        <w:t>(2)</w:t>
      </w:r>
    </w:p>
    <w:p w14:paraId="65609233" w14:textId="060B9C78" w:rsidR="00C00257" w:rsidRDefault="00964DFD" w:rsidP="00C00257">
      <w:pPr>
        <w:pStyle w:val="IEEEParagraph"/>
        <w:ind w:firstLine="170"/>
        <w:rPr>
          <w:sz w:val="24"/>
        </w:rPr>
      </w:pPr>
      <w:r w:rsidRPr="00964DFD">
        <w:rPr>
          <w:sz w:val="24"/>
        </w:rPr>
        <w:t xml:space="preserve">The effective permittivity </w:t>
      </w:r>
      <w:r w:rsidR="00935B85" w:rsidRPr="00935B85">
        <w:rPr>
          <w:sz w:val="24"/>
        </w:rPr>
        <w:t xml:space="preserve">considers the impact of the substrate’s physical properties on the overall </w:t>
      </w:r>
      <w:r w:rsidR="0097331D" w:rsidRPr="00935B85">
        <w:rPr>
          <w:sz w:val="24"/>
        </w:rPr>
        <w:t>behaviour</w:t>
      </w:r>
      <w:r w:rsidR="00935B85" w:rsidRPr="00935B85">
        <w:rPr>
          <w:sz w:val="24"/>
        </w:rPr>
        <w:t xml:space="preserve"> of the antenna, ensuring more accurate predictions of the </w:t>
      </w:r>
      <w:r w:rsidR="00083C0A">
        <w:rPr>
          <w:sz w:val="24"/>
        </w:rPr>
        <w:t>it</w:t>
      </w:r>
      <w:r w:rsidR="00935B85" w:rsidRPr="00935B85">
        <w:rPr>
          <w:sz w:val="24"/>
        </w:rPr>
        <w:t>s performance</w:t>
      </w:r>
      <w:r w:rsidR="00935B85">
        <w:rPr>
          <w:sz w:val="24"/>
        </w:rPr>
        <w:t xml:space="preserve">. </w:t>
      </w:r>
      <w:r w:rsidR="00C00257" w:rsidRPr="00C00257">
        <w:rPr>
          <w:sz w:val="24"/>
        </w:rPr>
        <w:t xml:space="preserve">Once </w:t>
      </w:r>
      <w:r w:rsidR="00935B85" w:rsidRPr="002059DD">
        <w:rPr>
          <w:rFonts w:ascii="Cambria Math" w:hAnsi="Cambria Math" w:cs="Cambria Math"/>
          <w:sz w:val="24"/>
        </w:rPr>
        <w:t>𝜀</w:t>
      </w:r>
      <w:r w:rsidR="00935B85" w:rsidRPr="002059DD">
        <w:rPr>
          <w:sz w:val="24"/>
          <w:vertAlign w:val="subscript"/>
        </w:rPr>
        <w:t>eff</w:t>
      </w:r>
      <w:r w:rsidR="00935B85">
        <w:rPr>
          <w:sz w:val="24"/>
        </w:rPr>
        <w:t xml:space="preserve"> </w:t>
      </w:r>
      <w:r w:rsidR="00C00257">
        <w:rPr>
          <w:sz w:val="24"/>
        </w:rPr>
        <w:t xml:space="preserve">is known, </w:t>
      </w:r>
      <w:r w:rsidR="00935B85" w:rsidRPr="00935B85">
        <w:rPr>
          <w:sz w:val="24"/>
        </w:rPr>
        <w:t xml:space="preserve">the effective length </w:t>
      </w:r>
      <w:r w:rsidR="00935B85">
        <w:rPr>
          <w:sz w:val="24"/>
        </w:rPr>
        <w:t>(</w:t>
      </w:r>
      <w:r w:rsidR="00935B85" w:rsidRPr="00C00257">
        <w:rPr>
          <w:rFonts w:ascii="Cambria Math" w:hAnsi="Cambria Math" w:cs="Cambria Math"/>
          <w:sz w:val="24"/>
        </w:rPr>
        <w:t>𝐿</w:t>
      </w:r>
      <w:r w:rsidR="00935B85" w:rsidRPr="00C00257">
        <w:rPr>
          <w:sz w:val="24"/>
          <w:vertAlign w:val="subscript"/>
        </w:rPr>
        <w:t>eff</w:t>
      </w:r>
      <w:r w:rsidR="00935B85">
        <w:rPr>
          <w:sz w:val="24"/>
        </w:rPr>
        <w:t xml:space="preserve">) </w:t>
      </w:r>
      <w:r w:rsidR="00935B85" w:rsidRPr="00935B85">
        <w:rPr>
          <w:sz w:val="24"/>
        </w:rPr>
        <w:t xml:space="preserve">of the patch can be </w:t>
      </w:r>
      <w:r w:rsidR="00083C0A" w:rsidRPr="00083C0A">
        <w:rPr>
          <w:sz w:val="24"/>
        </w:rPr>
        <w:t>computed using the formula below.</w:t>
      </w:r>
    </w:p>
    <w:p w14:paraId="1B77224C" w14:textId="4784CAE1" w:rsidR="00935B85" w:rsidRDefault="00000000" w:rsidP="00BB7FF5">
      <w:pPr>
        <w:pStyle w:val="IEEEParagraph"/>
        <w:ind w:firstLine="170"/>
        <w:jc w:val="right"/>
        <w:rPr>
          <w:sz w:val="24"/>
        </w:rPr>
      </w:pPr>
      <m:oMath>
        <m:sSub>
          <m:sSubPr>
            <m:ctrlPr>
              <w:rPr>
                <w:rFonts w:ascii="Cambria Math" w:hAnsi="Cambria Math"/>
                <w:i/>
                <w:sz w:val="24"/>
              </w:rPr>
            </m:ctrlPr>
          </m:sSubPr>
          <m:e>
            <m:r>
              <w:rPr>
                <w:rFonts w:ascii="Cambria Math" w:hAnsi="Cambria Math"/>
                <w:sz w:val="24"/>
              </w:rPr>
              <m:t>L</m:t>
            </m:r>
          </m:e>
          <m:sub>
            <m:r>
              <w:rPr>
                <w:rFonts w:ascii="Cambria Math" w:hAnsi="Cambria Math"/>
                <w:sz w:val="24"/>
              </w:rPr>
              <m:t>eff</m:t>
            </m:r>
          </m:sub>
        </m:sSub>
        <m:r>
          <w:rPr>
            <w:rFonts w:ascii="Cambria Math" w:hAnsi="Cambria Math"/>
            <w:sz w:val="24"/>
          </w:rPr>
          <m:t>=</m:t>
        </m:r>
        <m:f>
          <m:fPr>
            <m:ctrlPr>
              <w:rPr>
                <w:rFonts w:ascii="Cambria Math" w:hAnsi="Cambria Math"/>
                <w:i/>
                <w:sz w:val="24"/>
              </w:rPr>
            </m:ctrlPr>
          </m:fPr>
          <m:num>
            <m:r>
              <w:rPr>
                <w:rFonts w:ascii="Cambria Math" w:hAnsi="Cambria Math"/>
                <w:sz w:val="24"/>
              </w:rPr>
              <m:t>c</m:t>
            </m:r>
          </m:num>
          <m:den>
            <m:r>
              <w:rPr>
                <w:rFonts w:ascii="Cambria Math" w:hAnsi="Cambria Math"/>
                <w:sz w:val="24"/>
              </w:rPr>
              <m:t>2</m:t>
            </m:r>
            <m:sSub>
              <m:sSubPr>
                <m:ctrlPr>
                  <w:rPr>
                    <w:rFonts w:ascii="Cambria Math" w:hAnsi="Cambria Math"/>
                    <w:i/>
                    <w:sz w:val="24"/>
                  </w:rPr>
                </m:ctrlPr>
              </m:sSubPr>
              <m:e>
                <m:r>
                  <w:rPr>
                    <w:rFonts w:ascii="Cambria Math" w:hAnsi="Cambria Math"/>
                    <w:sz w:val="24"/>
                  </w:rPr>
                  <m:t>f</m:t>
                </m:r>
              </m:e>
              <m:sub>
                <m:r>
                  <w:rPr>
                    <w:rFonts w:ascii="Cambria Math" w:hAnsi="Cambria Math"/>
                    <w:sz w:val="24"/>
                  </w:rPr>
                  <m:t>r</m:t>
                </m:r>
              </m:sub>
            </m:sSub>
            <m:rad>
              <m:radPr>
                <m:degHide m:val="1"/>
                <m:ctrlPr>
                  <w:rPr>
                    <w:rFonts w:ascii="Cambria Math" w:hAnsi="Cambria Math"/>
                    <w:i/>
                    <w:sz w:val="24"/>
                  </w:rPr>
                </m:ctrlPr>
              </m:radPr>
              <m:deg/>
              <m:e>
                <m:sSub>
                  <m:sSubPr>
                    <m:ctrlPr>
                      <w:rPr>
                        <w:rFonts w:ascii="Cambria Math" w:hAnsi="Cambria Math"/>
                        <w:i/>
                        <w:sz w:val="24"/>
                      </w:rPr>
                    </m:ctrlPr>
                  </m:sSubPr>
                  <m:e>
                    <m:r>
                      <w:rPr>
                        <w:rFonts w:ascii="Cambria Math" w:hAnsi="Cambria Math"/>
                        <w:sz w:val="24"/>
                      </w:rPr>
                      <m:t>ε</m:t>
                    </m:r>
                  </m:e>
                  <m:sub>
                    <m:r>
                      <w:rPr>
                        <w:rFonts w:ascii="Cambria Math" w:hAnsi="Cambria Math"/>
                        <w:sz w:val="24"/>
                      </w:rPr>
                      <m:t>eff</m:t>
                    </m:r>
                  </m:sub>
                </m:sSub>
              </m:e>
            </m:rad>
          </m:den>
        </m:f>
      </m:oMath>
      <w:r w:rsidR="00BB7FF5">
        <w:rPr>
          <w:sz w:val="24"/>
        </w:rPr>
        <w:t xml:space="preserve"> </w:t>
      </w:r>
      <w:r w:rsidR="00BB7FF5">
        <w:rPr>
          <w:sz w:val="24"/>
        </w:rPr>
        <w:tab/>
      </w:r>
      <w:r w:rsidR="00BB7FF5">
        <w:rPr>
          <w:sz w:val="24"/>
        </w:rPr>
        <w:tab/>
      </w:r>
      <w:r w:rsidR="00BB7FF5">
        <w:rPr>
          <w:sz w:val="24"/>
        </w:rPr>
        <w:tab/>
      </w:r>
      <w:r w:rsidR="00BB7FF5">
        <w:rPr>
          <w:sz w:val="24"/>
        </w:rPr>
        <w:tab/>
      </w:r>
      <w:r w:rsidR="00BB7FF5">
        <w:rPr>
          <w:sz w:val="24"/>
        </w:rPr>
        <w:tab/>
      </w:r>
      <w:r w:rsidR="00BB7FF5">
        <w:rPr>
          <w:sz w:val="24"/>
        </w:rPr>
        <w:tab/>
        <w:t>(3)</w:t>
      </w:r>
    </w:p>
    <w:p w14:paraId="272014AA" w14:textId="77777777" w:rsidR="00935B85" w:rsidRDefault="00935B85" w:rsidP="00C00257">
      <w:pPr>
        <w:pStyle w:val="IEEEParagraph"/>
        <w:ind w:firstLine="170"/>
        <w:rPr>
          <w:sz w:val="24"/>
        </w:rPr>
      </w:pPr>
    </w:p>
    <w:p w14:paraId="20D6FD3F" w14:textId="6BFB2C31" w:rsidR="00935B85" w:rsidRDefault="00935B85" w:rsidP="00935B85">
      <w:pPr>
        <w:pStyle w:val="IEEEParagraph"/>
        <w:ind w:firstLine="170"/>
        <w:rPr>
          <w:sz w:val="24"/>
        </w:rPr>
      </w:pPr>
      <w:r w:rsidRPr="00935B85">
        <w:rPr>
          <w:sz w:val="24"/>
        </w:rPr>
        <w:lastRenderedPageBreak/>
        <w:t xml:space="preserve">The </w:t>
      </w:r>
      <w:r w:rsidR="00BD78EF">
        <w:rPr>
          <w:sz w:val="24"/>
        </w:rPr>
        <w:t>real</w:t>
      </w:r>
      <w:r w:rsidRPr="00935B85">
        <w:rPr>
          <w:sz w:val="24"/>
        </w:rPr>
        <w:t xml:space="preserve"> patch length</w:t>
      </w:r>
      <w:r>
        <w:rPr>
          <w:sz w:val="24"/>
        </w:rPr>
        <w:t xml:space="preserve"> (</w:t>
      </w:r>
      <w:r w:rsidRPr="00C00257">
        <w:rPr>
          <w:rFonts w:ascii="Cambria Math" w:hAnsi="Cambria Math" w:cs="Cambria Math"/>
          <w:sz w:val="24"/>
        </w:rPr>
        <w:t>𝐿</w:t>
      </w:r>
      <w:r>
        <w:rPr>
          <w:sz w:val="24"/>
          <w:vertAlign w:val="subscript"/>
        </w:rPr>
        <w:t>p</w:t>
      </w:r>
      <w:r>
        <w:rPr>
          <w:sz w:val="24"/>
        </w:rPr>
        <w:t xml:space="preserve">) </w:t>
      </w:r>
      <w:r w:rsidRPr="00935B85">
        <w:rPr>
          <w:sz w:val="24"/>
        </w:rPr>
        <w:t xml:space="preserve">is then determined by adjusting the effective length for the fringing fields at the </w:t>
      </w:r>
      <w:r w:rsidR="00BD78EF">
        <w:rPr>
          <w:sz w:val="24"/>
        </w:rPr>
        <w:t>sides</w:t>
      </w:r>
      <w:r w:rsidRPr="00935B85">
        <w:rPr>
          <w:sz w:val="24"/>
        </w:rPr>
        <w:t xml:space="preserve"> of the patch, using the length extension</w:t>
      </w:r>
      <w:r>
        <w:rPr>
          <w:sz w:val="24"/>
        </w:rPr>
        <w:t xml:space="preserve"> (Δ</w:t>
      </w:r>
      <w:r w:rsidRPr="00C00257">
        <w:rPr>
          <w:rFonts w:ascii="Cambria Math" w:hAnsi="Cambria Math" w:cs="Cambria Math"/>
          <w:sz w:val="24"/>
        </w:rPr>
        <w:t>𝐿</w:t>
      </w:r>
      <w:r>
        <w:rPr>
          <w:sz w:val="24"/>
        </w:rPr>
        <w:t xml:space="preserve">) </w:t>
      </w:r>
      <w:r w:rsidRPr="00935B85">
        <w:rPr>
          <w:sz w:val="24"/>
        </w:rPr>
        <w:t>calculated as:</w:t>
      </w:r>
    </w:p>
    <w:p w14:paraId="67B0B474" w14:textId="05A4EE3B" w:rsidR="00BB7FF5" w:rsidRDefault="00BB7FF5" w:rsidP="00BB7FF5">
      <w:pPr>
        <w:pStyle w:val="IEEEParagraph"/>
        <w:ind w:firstLine="170"/>
        <w:jc w:val="right"/>
        <w:rPr>
          <w:sz w:val="24"/>
        </w:rPr>
      </w:pPr>
      <m:oMath>
        <m:r>
          <m:rPr>
            <m:sty m:val="p"/>
          </m:rPr>
          <w:rPr>
            <w:rFonts w:ascii="Cambria Math" w:hAnsi="Cambria Math"/>
            <w:sz w:val="24"/>
          </w:rPr>
          <m:t>ΔL</m:t>
        </m:r>
        <m:r>
          <w:rPr>
            <w:rFonts w:ascii="Cambria Math" w:hAnsi="Cambria Math"/>
            <w:sz w:val="24"/>
          </w:rPr>
          <m:t>=0.412</m:t>
        </m:r>
        <m:r>
          <w:rPr>
            <w:rFonts w:ascii="Cambria Math" w:hAnsi="Cambria Math"/>
            <w:sz w:val="24"/>
          </w:rPr>
          <m:t>h</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(ε</m:t>
                </m:r>
              </m:e>
              <m:sub>
                <m:r>
                  <w:rPr>
                    <w:rFonts w:ascii="Cambria Math" w:hAnsi="Cambria Math"/>
                    <w:sz w:val="24"/>
                  </w:rPr>
                  <m:t>eff</m:t>
                </m:r>
              </m:sub>
            </m:sSub>
            <m:r>
              <w:rPr>
                <w:rFonts w:ascii="Cambria Math" w:hAnsi="Cambria Math"/>
                <w:sz w:val="24"/>
              </w:rPr>
              <m:t>+0.3)</m:t>
            </m:r>
            <m:d>
              <m:dPr>
                <m:ctrlPr>
                  <w:rPr>
                    <w:rFonts w:ascii="Cambria Math" w:hAnsi="Cambria Math"/>
                    <w:i/>
                    <w:sz w:val="24"/>
                  </w:rPr>
                </m:ctrlPr>
              </m:dPr>
              <m:e>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W</m:t>
                        </m:r>
                      </m:e>
                      <m:sub>
                        <m:r>
                          <w:rPr>
                            <w:rFonts w:ascii="Cambria Math" w:hAnsi="Cambria Math"/>
                            <w:sz w:val="24"/>
                          </w:rPr>
                          <m:t>p</m:t>
                        </m:r>
                      </m:sub>
                    </m:sSub>
                  </m:num>
                  <m:den>
                    <m:r>
                      <w:rPr>
                        <w:rFonts w:ascii="Cambria Math" w:hAnsi="Cambria Math"/>
                        <w:sz w:val="24"/>
                      </w:rPr>
                      <m:t>h</m:t>
                    </m:r>
                  </m:den>
                </m:f>
                <m:r>
                  <w:rPr>
                    <w:rFonts w:ascii="Cambria Math" w:hAnsi="Cambria Math"/>
                    <w:sz w:val="24"/>
                  </w:rPr>
                  <m:t>+0.264</m:t>
                </m:r>
              </m:e>
            </m:d>
          </m:num>
          <m:den>
            <m:sSub>
              <m:sSubPr>
                <m:ctrlPr>
                  <w:rPr>
                    <w:rFonts w:ascii="Cambria Math" w:hAnsi="Cambria Math"/>
                    <w:i/>
                    <w:sz w:val="24"/>
                  </w:rPr>
                </m:ctrlPr>
              </m:sSubPr>
              <m:e>
                <m:r>
                  <w:rPr>
                    <w:rFonts w:ascii="Cambria Math" w:hAnsi="Cambria Math"/>
                    <w:sz w:val="24"/>
                  </w:rPr>
                  <m:t>(ε</m:t>
                </m:r>
              </m:e>
              <m:sub>
                <m:r>
                  <w:rPr>
                    <w:rFonts w:ascii="Cambria Math" w:hAnsi="Cambria Math"/>
                    <w:sz w:val="24"/>
                  </w:rPr>
                  <m:t>eff</m:t>
                </m:r>
              </m:sub>
            </m:sSub>
            <m:r>
              <w:rPr>
                <w:rFonts w:ascii="Cambria Math" w:hAnsi="Cambria Math"/>
                <w:sz w:val="24"/>
              </w:rPr>
              <m:t>-0.258)</m:t>
            </m:r>
            <m:d>
              <m:dPr>
                <m:ctrlPr>
                  <w:rPr>
                    <w:rFonts w:ascii="Cambria Math" w:hAnsi="Cambria Math"/>
                    <w:i/>
                    <w:sz w:val="24"/>
                  </w:rPr>
                </m:ctrlPr>
              </m:dPr>
              <m:e>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W</m:t>
                        </m:r>
                      </m:e>
                      <m:sub>
                        <m:r>
                          <w:rPr>
                            <w:rFonts w:ascii="Cambria Math" w:hAnsi="Cambria Math"/>
                            <w:sz w:val="24"/>
                          </w:rPr>
                          <m:t>p</m:t>
                        </m:r>
                      </m:sub>
                    </m:sSub>
                  </m:num>
                  <m:den>
                    <m:r>
                      <w:rPr>
                        <w:rFonts w:ascii="Cambria Math" w:hAnsi="Cambria Math"/>
                        <w:sz w:val="24"/>
                      </w:rPr>
                      <m:t>h</m:t>
                    </m:r>
                  </m:den>
                </m:f>
                <m:r>
                  <w:rPr>
                    <w:rFonts w:ascii="Cambria Math" w:hAnsi="Cambria Math"/>
                    <w:sz w:val="24"/>
                  </w:rPr>
                  <m:t>+0.8</m:t>
                </m:r>
              </m:e>
            </m:d>
          </m:den>
        </m:f>
      </m:oMath>
      <w:r>
        <w:rPr>
          <w:sz w:val="24"/>
        </w:rPr>
        <w:t xml:space="preserve"> </w:t>
      </w:r>
      <w:r>
        <w:rPr>
          <w:sz w:val="24"/>
        </w:rPr>
        <w:tab/>
      </w:r>
      <w:r>
        <w:rPr>
          <w:sz w:val="24"/>
        </w:rPr>
        <w:tab/>
      </w:r>
      <w:r>
        <w:rPr>
          <w:sz w:val="24"/>
        </w:rPr>
        <w:tab/>
      </w:r>
      <w:r>
        <w:rPr>
          <w:sz w:val="24"/>
        </w:rPr>
        <w:tab/>
      </w:r>
      <w:r>
        <w:rPr>
          <w:sz w:val="24"/>
        </w:rPr>
        <w:tab/>
      </w:r>
      <w:r>
        <w:rPr>
          <w:sz w:val="24"/>
        </w:rPr>
        <w:tab/>
        <w:t>(4)</w:t>
      </w:r>
    </w:p>
    <w:p w14:paraId="2353FCCA" w14:textId="2DE30B8B" w:rsidR="00BB7FF5" w:rsidRDefault="00BB7FF5" w:rsidP="00BB7FF5">
      <w:pPr>
        <w:pStyle w:val="IEEEParagraph"/>
        <w:ind w:firstLine="170"/>
        <w:rPr>
          <w:sz w:val="24"/>
        </w:rPr>
      </w:pPr>
      <w:r w:rsidRPr="00BB7FF5">
        <w:rPr>
          <w:sz w:val="24"/>
        </w:rPr>
        <w:t>Finally, the patch length is given by:</w:t>
      </w:r>
    </w:p>
    <w:p w14:paraId="4696B3AD" w14:textId="798C3B54" w:rsidR="00C00257" w:rsidRPr="002059DD" w:rsidRDefault="00000000" w:rsidP="00C00257">
      <w:pPr>
        <w:pStyle w:val="IEEEParagraph"/>
        <w:ind w:firstLine="170"/>
        <w:jc w:val="right"/>
        <w:rPr>
          <w:sz w:val="24"/>
        </w:rPr>
      </w:pPr>
      <m:oMath>
        <m:sSub>
          <m:sSubPr>
            <m:ctrlPr>
              <w:rPr>
                <w:rFonts w:ascii="Cambria Math" w:hAnsi="Cambria Math"/>
                <w:i/>
                <w:sz w:val="24"/>
              </w:rPr>
            </m:ctrlPr>
          </m:sSubPr>
          <m:e>
            <m:r>
              <w:rPr>
                <w:rFonts w:ascii="Cambria Math" w:hAnsi="Cambria Math"/>
                <w:sz w:val="24"/>
              </w:rPr>
              <m:t>L</m:t>
            </m:r>
          </m:e>
          <m:sub>
            <m:r>
              <w:rPr>
                <w:rFonts w:ascii="Cambria Math" w:hAnsi="Cambria Math"/>
                <w:sz w:val="24"/>
              </w:rPr>
              <m:t>p</m:t>
            </m:r>
          </m:sub>
        </m:sSub>
        <m:r>
          <w:rPr>
            <w:rFonts w:ascii="Cambria Math" w:hAnsi="Cambria Math"/>
            <w:sz w:val="24"/>
          </w:rPr>
          <m:t>=</m:t>
        </m:r>
        <m:sSub>
          <m:sSubPr>
            <m:ctrlPr>
              <w:rPr>
                <w:rFonts w:ascii="Cambria Math" w:hAnsi="Cambria Math"/>
                <w:i/>
                <w:sz w:val="24"/>
              </w:rPr>
            </m:ctrlPr>
          </m:sSubPr>
          <m:e>
            <m:r>
              <w:rPr>
                <w:rFonts w:ascii="Cambria Math" w:hAnsi="Cambria Math"/>
                <w:sz w:val="24"/>
              </w:rPr>
              <m:t>L</m:t>
            </m:r>
          </m:e>
          <m:sub>
            <m:r>
              <w:rPr>
                <w:rFonts w:ascii="Cambria Math" w:hAnsi="Cambria Math"/>
                <w:sz w:val="24"/>
              </w:rPr>
              <m:t>eff</m:t>
            </m:r>
          </m:sub>
        </m:sSub>
        <m:r>
          <w:rPr>
            <w:rFonts w:ascii="Cambria Math" w:hAnsi="Cambria Math"/>
            <w:sz w:val="24"/>
          </w:rPr>
          <m:t>-2</m:t>
        </m:r>
        <m:r>
          <m:rPr>
            <m:sty m:val="p"/>
          </m:rPr>
          <w:rPr>
            <w:rFonts w:ascii="Cambria Math" w:hAnsi="Cambria Math"/>
            <w:sz w:val="24"/>
          </w:rPr>
          <m:t>ΔL</m:t>
        </m:r>
      </m:oMath>
      <w:r w:rsidR="00C00257">
        <w:rPr>
          <w:sz w:val="24"/>
        </w:rPr>
        <w:t xml:space="preserve"> </w:t>
      </w:r>
      <w:r w:rsidR="00C00257">
        <w:rPr>
          <w:sz w:val="24"/>
        </w:rPr>
        <w:tab/>
      </w:r>
      <w:r w:rsidR="00C00257">
        <w:rPr>
          <w:sz w:val="24"/>
        </w:rPr>
        <w:tab/>
      </w:r>
      <w:r w:rsidR="00C00257">
        <w:rPr>
          <w:sz w:val="24"/>
        </w:rPr>
        <w:tab/>
      </w:r>
      <w:r w:rsidR="00C00257">
        <w:rPr>
          <w:sz w:val="24"/>
        </w:rPr>
        <w:tab/>
      </w:r>
      <w:r w:rsidR="00C00257">
        <w:rPr>
          <w:sz w:val="24"/>
        </w:rPr>
        <w:tab/>
      </w:r>
      <w:r w:rsidR="00C00257">
        <w:rPr>
          <w:sz w:val="24"/>
        </w:rPr>
        <w:tab/>
        <w:t>(3)</w:t>
      </w:r>
    </w:p>
    <w:p w14:paraId="083AB545" w14:textId="2CD9C0F6" w:rsidR="00BB7FF5" w:rsidRDefault="00BB7FF5" w:rsidP="002059DD">
      <w:pPr>
        <w:pStyle w:val="IEEEParagraph"/>
        <w:ind w:firstLine="170"/>
        <w:rPr>
          <w:sz w:val="24"/>
        </w:rPr>
      </w:pPr>
      <w:r w:rsidRPr="00C00257">
        <w:rPr>
          <w:sz w:val="24"/>
        </w:rPr>
        <w:t>These equations provide the starting dimensions for the patch antenna.</w:t>
      </w:r>
      <w:r>
        <w:rPr>
          <w:sz w:val="24"/>
        </w:rPr>
        <w:t xml:space="preserve"> </w:t>
      </w:r>
      <w:r w:rsidRPr="00BB7FF5">
        <w:rPr>
          <w:sz w:val="24"/>
        </w:rPr>
        <w:t xml:space="preserve">For the </w:t>
      </w:r>
      <w:r w:rsidR="00AB2F38">
        <w:rPr>
          <w:sz w:val="24"/>
        </w:rPr>
        <w:t>2.45</w:t>
      </w:r>
      <w:r w:rsidRPr="00BB7FF5">
        <w:rPr>
          <w:sz w:val="24"/>
        </w:rPr>
        <w:t xml:space="preserve"> GHz frequency, the patch dimensions are calculated to be approximately 53.2 mm in width and 41 mm in length. For the 5.8 GHz frequency, the corresponding patch dimensions are approximately 25.4 mm </w:t>
      </w:r>
      <w:r w:rsidR="00964DFD">
        <w:rPr>
          <w:sz w:val="24"/>
        </w:rPr>
        <w:t xml:space="preserve">wide </w:t>
      </w:r>
      <w:r w:rsidRPr="00BB7FF5">
        <w:rPr>
          <w:sz w:val="24"/>
        </w:rPr>
        <w:t xml:space="preserve">and 20.5 mm </w:t>
      </w:r>
      <w:r w:rsidR="00964DFD">
        <w:rPr>
          <w:sz w:val="24"/>
        </w:rPr>
        <w:t>long</w:t>
      </w:r>
      <w:r w:rsidRPr="00BB7FF5">
        <w:rPr>
          <w:sz w:val="24"/>
        </w:rPr>
        <w:t xml:space="preserve">. </w:t>
      </w:r>
      <w:r>
        <w:rPr>
          <w:sz w:val="24"/>
        </w:rPr>
        <w:t>Proposed antenna</w:t>
      </w:r>
      <w:r w:rsidRPr="00BB7FF5">
        <w:rPr>
          <w:sz w:val="24"/>
        </w:rPr>
        <w:t xml:space="preserve"> dimensions are generally suitable for the 5.8 GHz frequency, but additional modifications are necessary to achieve dual-band operation.</w:t>
      </w:r>
    </w:p>
    <w:p w14:paraId="42C2715E" w14:textId="5734146B" w:rsidR="00D06413" w:rsidRDefault="00D06413" w:rsidP="00D06413">
      <w:pPr>
        <w:pStyle w:val="IEEEParagraph"/>
        <w:ind w:firstLine="170"/>
        <w:rPr>
          <w:sz w:val="24"/>
        </w:rPr>
      </w:pPr>
      <w:r w:rsidRPr="00D06413">
        <w:rPr>
          <w:sz w:val="24"/>
        </w:rPr>
        <w:t xml:space="preserve">The design process progressed through several stages to </w:t>
      </w:r>
      <w:r w:rsidR="00964DFD">
        <w:rPr>
          <w:sz w:val="24"/>
        </w:rPr>
        <w:t>improve</w:t>
      </w:r>
      <w:r w:rsidRPr="00D06413">
        <w:rPr>
          <w:sz w:val="24"/>
        </w:rPr>
        <w:t xml:space="preserve"> the </w:t>
      </w:r>
      <w:r w:rsidR="00964DFD" w:rsidRPr="00D06413">
        <w:rPr>
          <w:sz w:val="24"/>
        </w:rPr>
        <w:t xml:space="preserve">performance </w:t>
      </w:r>
      <w:r w:rsidR="00964DFD">
        <w:rPr>
          <w:sz w:val="24"/>
        </w:rPr>
        <w:t>of antenna</w:t>
      </w:r>
      <w:r w:rsidRPr="00D06413">
        <w:rPr>
          <w:sz w:val="24"/>
        </w:rPr>
        <w:t>. The traditional antenna design was first developed, followed by the inclusion of the inset feed. This modification was made to improve impedance matching, resulting in better power transfer and reducing reflection losses.</w:t>
      </w:r>
      <w:r>
        <w:rPr>
          <w:sz w:val="24"/>
        </w:rPr>
        <w:t xml:space="preserve"> </w:t>
      </w:r>
      <w:r w:rsidRPr="00D06413">
        <w:rPr>
          <w:sz w:val="24"/>
        </w:rPr>
        <w:t xml:space="preserve">A partial ground plane was then added </w:t>
      </w:r>
      <w:r w:rsidR="00964DFD" w:rsidRPr="00964DFD">
        <w:rPr>
          <w:sz w:val="24"/>
        </w:rPr>
        <w:t xml:space="preserve">to enhance the radiation performance </w:t>
      </w:r>
      <w:r w:rsidRPr="00D06413">
        <w:rPr>
          <w:sz w:val="24"/>
        </w:rPr>
        <w:t xml:space="preserve">and enhance the </w:t>
      </w:r>
      <w:r w:rsidR="00964DFD">
        <w:rPr>
          <w:sz w:val="24"/>
        </w:rPr>
        <w:t>total</w:t>
      </w:r>
      <w:r w:rsidRPr="00D06413">
        <w:rPr>
          <w:sz w:val="24"/>
        </w:rPr>
        <w:t xml:space="preserve"> performance of the antenna. As mentioned </w:t>
      </w:r>
      <w:r>
        <w:rPr>
          <w:sz w:val="24"/>
        </w:rPr>
        <w:t xml:space="preserve">by </w:t>
      </w:r>
      <w:r>
        <w:rPr>
          <w:sz w:val="24"/>
        </w:rPr>
        <w:fldChar w:fldCharType="begin"/>
      </w:r>
      <w:r w:rsidR="006912C7">
        <w:rPr>
          <w:sz w:val="24"/>
        </w:rPr>
        <w:instrText xml:space="preserve"> ADDIN EN.CITE &lt;EndNote&gt;&lt;Cite AuthorYear="1"&gt;&lt;Author&gt;Ahmad&lt;/Author&gt;&lt;Year&gt;2021&lt;/Year&gt;&lt;RecNum&gt;10&lt;/RecNum&gt;&lt;DisplayText&gt;Ahmad, et al. [10]&lt;/DisplayText&gt;&lt;record&gt;&lt;rec-number&gt;10&lt;/rec-number&gt;&lt;foreign-keys&gt;&lt;key app="EN" db-id="x09rref955pwziett20vds0merwawtxseszv" timestamp="1733826709"&gt;10&lt;/key&gt;&lt;/foreign-keys&gt;&lt;ref-type name="Journal Article"&gt;17&lt;/ref-type&gt;&lt;contributors&gt;&lt;authors&gt;&lt;author&gt;Ahmad, Sarosh&lt;/author&gt;&lt;author&gt;Ghaffar, Adnan&lt;/author&gt;&lt;author&gt;Hussain, Niamat&lt;/author&gt;&lt;author&gt;Kim, Nam&lt;/author&gt;&lt;/authors&gt;&lt;/contributors&gt;&lt;titles&gt;&lt;title&gt;Compact dual-band antenna with paired L-shape slots for on-and off-body wireless communication&lt;/title&gt;&lt;secondary-title&gt;Sensors&lt;/secondary-title&gt;&lt;/titles&gt;&lt;periodical&gt;&lt;full-title&gt;Sensors&lt;/full-title&gt;&lt;/periodical&gt;&lt;pages&gt;7953&lt;/pages&gt;&lt;volume&gt;21&lt;/volume&gt;&lt;number&gt;23&lt;/number&gt;&lt;dates&gt;&lt;year&gt;2021&lt;/year&gt;&lt;/dates&gt;&lt;isbn&gt;1424-8220&lt;/isbn&gt;&lt;urls&gt;&lt;/urls&gt;&lt;/record&gt;&lt;/Cite&gt;&lt;/EndNote&gt;</w:instrText>
      </w:r>
      <w:r>
        <w:rPr>
          <w:sz w:val="24"/>
        </w:rPr>
        <w:fldChar w:fldCharType="separate"/>
      </w:r>
      <w:r w:rsidR="006912C7">
        <w:rPr>
          <w:noProof/>
          <w:sz w:val="24"/>
        </w:rPr>
        <w:t>Ahmad, et al. [10]</w:t>
      </w:r>
      <w:r>
        <w:rPr>
          <w:sz w:val="24"/>
        </w:rPr>
        <w:fldChar w:fldCharType="end"/>
      </w:r>
      <w:r w:rsidRPr="00D06413">
        <w:rPr>
          <w:sz w:val="24"/>
        </w:rPr>
        <w:t>, incorporating slots into the radiating element of the antenna can enable the generation of multiple resonances at different frequencies.</w:t>
      </w:r>
      <w:r>
        <w:rPr>
          <w:sz w:val="24"/>
        </w:rPr>
        <w:t xml:space="preserve"> </w:t>
      </w:r>
      <w:r w:rsidRPr="00D06413">
        <w:rPr>
          <w:sz w:val="24"/>
        </w:rPr>
        <w:t>This was followed by the addition of U-</w:t>
      </w:r>
      <w:r w:rsidR="00964DFD">
        <w:rPr>
          <w:sz w:val="24"/>
        </w:rPr>
        <w:t xml:space="preserve">slot and ground slot structures </w:t>
      </w:r>
      <w:r w:rsidR="00964DFD" w:rsidRPr="00964DFD">
        <w:rPr>
          <w:sz w:val="24"/>
        </w:rPr>
        <w:t xml:space="preserve">that are crucial </w:t>
      </w:r>
      <w:r w:rsidRPr="00D06413">
        <w:rPr>
          <w:sz w:val="24"/>
        </w:rPr>
        <w:t xml:space="preserve">in extending the effective length of the antenna and thus achieving resonance at both frequencies. The proposed antenna design offers optimum performance for both </w:t>
      </w:r>
      <w:r w:rsidR="00964DFD">
        <w:rPr>
          <w:sz w:val="24"/>
        </w:rPr>
        <w:t xml:space="preserve">resonant </w:t>
      </w:r>
      <w:r w:rsidRPr="00D06413">
        <w:rPr>
          <w:sz w:val="24"/>
        </w:rPr>
        <w:t>frequenc</w:t>
      </w:r>
      <w:r w:rsidR="00964DFD">
        <w:rPr>
          <w:sz w:val="24"/>
        </w:rPr>
        <w:t>ies</w:t>
      </w:r>
      <w:r w:rsidRPr="00D06413">
        <w:rPr>
          <w:sz w:val="24"/>
        </w:rPr>
        <w:t xml:space="preserve">, making it suitable for dual-band biomedical applications. </w:t>
      </w:r>
    </w:p>
    <w:p w14:paraId="365FE52C" w14:textId="77777777" w:rsidR="00CA5E8A" w:rsidRDefault="00CA5E8A" w:rsidP="00D06413">
      <w:pPr>
        <w:pStyle w:val="IEEEParagraph"/>
        <w:ind w:firstLine="170"/>
        <w:rPr>
          <w:sz w:val="24"/>
        </w:rPr>
      </w:pPr>
    </w:p>
    <w:p w14:paraId="4EEF25C3" w14:textId="48BA031E" w:rsidR="00B757B4" w:rsidRPr="00C66488" w:rsidRDefault="00CA5E8A" w:rsidP="00C66488">
      <w:pPr>
        <w:pStyle w:val="IEEEHeading1"/>
        <w:jc w:val="left"/>
        <w:rPr>
          <w:sz w:val="24"/>
        </w:rPr>
      </w:pPr>
      <w:r w:rsidRPr="00C66488">
        <w:rPr>
          <w:sz w:val="24"/>
        </w:rPr>
        <w:t>RESULTS</w:t>
      </w:r>
      <w:r>
        <w:rPr>
          <w:sz w:val="24"/>
        </w:rPr>
        <w:t xml:space="preserve"> AND </w:t>
      </w:r>
      <w:r w:rsidRPr="00C66488">
        <w:rPr>
          <w:sz w:val="24"/>
        </w:rPr>
        <w:t>DISCUSSION</w:t>
      </w:r>
    </w:p>
    <w:p w14:paraId="14589962" w14:textId="2316718A" w:rsidR="005D251A" w:rsidRDefault="005D251A" w:rsidP="005D251A">
      <w:pPr>
        <w:pStyle w:val="IEEEParagraph"/>
        <w:ind w:firstLine="170"/>
        <w:rPr>
          <w:sz w:val="24"/>
        </w:rPr>
      </w:pPr>
      <w:r w:rsidRPr="005D251A">
        <w:rPr>
          <w:sz w:val="24"/>
        </w:rPr>
        <w:t xml:space="preserve">The substrate of the antenna is fabricated with Ultimaker 2+ commercial 3D printer using FDM </w:t>
      </w:r>
      <w:r w:rsidRPr="009C0A65">
        <w:rPr>
          <w:sz w:val="24"/>
        </w:rPr>
        <w:t>(Fused Deposition Model</w:t>
      </w:r>
      <w:r w:rsidR="0097331D">
        <w:rPr>
          <w:sz w:val="24"/>
        </w:rPr>
        <w:t>l</w:t>
      </w:r>
      <w:r w:rsidRPr="009C0A65">
        <w:rPr>
          <w:sz w:val="24"/>
        </w:rPr>
        <w:t>ing)</w:t>
      </w:r>
      <w:r>
        <w:rPr>
          <w:sz w:val="24"/>
        </w:rPr>
        <w:t xml:space="preserve"> </w:t>
      </w:r>
      <w:r w:rsidRPr="005D251A">
        <w:rPr>
          <w:sz w:val="24"/>
        </w:rPr>
        <w:t xml:space="preserve">technique.  The ground and patch parts of the antenna are formed by adhering copper tape on the produced substrate. Finally, the antenna prototype was created by soldering the SMA connector. The </w:t>
      </w:r>
      <w:r w:rsidR="00C41456">
        <w:rPr>
          <w:sz w:val="24"/>
        </w:rPr>
        <w:t xml:space="preserve">manufactured antenna model </w:t>
      </w:r>
      <w:r w:rsidRPr="005D251A">
        <w:rPr>
          <w:sz w:val="24"/>
        </w:rPr>
        <w:t xml:space="preserve">is </w:t>
      </w:r>
      <w:r w:rsidR="00C41456" w:rsidRPr="00C41456">
        <w:rPr>
          <w:sz w:val="24"/>
        </w:rPr>
        <w:t xml:space="preserve">illustrated </w:t>
      </w:r>
      <w:r w:rsidRPr="005D251A">
        <w:rPr>
          <w:sz w:val="24"/>
        </w:rPr>
        <w:t>in Fig</w:t>
      </w:r>
      <w:r>
        <w:rPr>
          <w:sz w:val="24"/>
        </w:rPr>
        <w:t>.</w:t>
      </w:r>
      <w:r w:rsidRPr="005D251A">
        <w:rPr>
          <w:sz w:val="24"/>
        </w:rPr>
        <w:t xml:space="preserve"> 3, highlighting its compact design and key features such as inset feed, partial ground plane and slot structures. This fabrication method provides a strong yet lightweight structure, making the antenna ideal for wireless communication applications</w:t>
      </w:r>
      <w:r w:rsidR="00CA5E8A">
        <w:rPr>
          <w:sz w:val="24"/>
        </w:rPr>
        <w:t>.</w:t>
      </w:r>
    </w:p>
    <w:p w14:paraId="588DBEA5" w14:textId="77777777" w:rsidR="00CA5E8A" w:rsidRPr="005D251A" w:rsidRDefault="00CA5E8A" w:rsidP="005D251A">
      <w:pPr>
        <w:pStyle w:val="IEEEParagraph"/>
        <w:ind w:firstLine="170"/>
        <w:rPr>
          <w:sz w:val="24"/>
        </w:rPr>
      </w:pPr>
    </w:p>
    <w:p w14:paraId="773E0CC6" w14:textId="77777777" w:rsidR="00311542" w:rsidRDefault="00311542" w:rsidP="005D251A">
      <w:pPr>
        <w:pStyle w:val="IEEEParagraph"/>
        <w:ind w:firstLine="0"/>
        <w:rPr>
          <w:sz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1"/>
        <w:gridCol w:w="5104"/>
      </w:tblGrid>
      <w:tr w:rsidR="005C01F4" w14:paraId="1293735C" w14:textId="77777777" w:rsidTr="00A41A6B">
        <w:tc>
          <w:tcPr>
            <w:tcW w:w="5172" w:type="dxa"/>
          </w:tcPr>
          <w:p w14:paraId="5AA29F11" w14:textId="77777777" w:rsidR="005C01F4" w:rsidRDefault="005C01F4" w:rsidP="00A41A6B">
            <w:pPr>
              <w:pStyle w:val="IEEEFigure"/>
            </w:pPr>
            <w:r w:rsidRPr="0010677C">
              <w:rPr>
                <w:noProof/>
                <w:lang w:val="tr-TR" w:eastAsia="tr-TR"/>
              </w:rPr>
              <w:drawing>
                <wp:inline distT="0" distB="0" distL="0" distR="0" wp14:anchorId="1855550D" wp14:editId="5F61E813">
                  <wp:extent cx="2349965" cy="2880000"/>
                  <wp:effectExtent l="0" t="0" r="0" b="0"/>
                  <wp:docPr id="919346748" name="Resim 919346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346748" name="Resim 91934674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349965" cy="2880000"/>
                          </a:xfrm>
                          <a:prstGeom prst="rect">
                            <a:avLst/>
                          </a:prstGeom>
                          <a:noFill/>
                          <a:ln>
                            <a:noFill/>
                          </a:ln>
                        </pic:spPr>
                      </pic:pic>
                    </a:graphicData>
                  </a:graphic>
                </wp:inline>
              </w:drawing>
            </w:r>
          </w:p>
        </w:tc>
        <w:tc>
          <w:tcPr>
            <w:tcW w:w="5173" w:type="dxa"/>
          </w:tcPr>
          <w:p w14:paraId="2BBD2725" w14:textId="77777777" w:rsidR="005C01F4" w:rsidRDefault="005C01F4" w:rsidP="00A41A6B">
            <w:pPr>
              <w:pStyle w:val="IEEEFigure"/>
            </w:pPr>
            <w:r w:rsidRPr="0010677C">
              <w:rPr>
                <w:noProof/>
                <w:lang w:val="tr-TR" w:eastAsia="tr-TR"/>
              </w:rPr>
              <w:drawing>
                <wp:inline distT="0" distB="0" distL="0" distR="0" wp14:anchorId="2194E3A9" wp14:editId="5D9CDC03">
                  <wp:extent cx="2359617" cy="2880000"/>
                  <wp:effectExtent l="0" t="0" r="3175" b="0"/>
                  <wp:docPr id="708732519" name="Resim 70873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32519" name="Resim 70873251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359617" cy="2880000"/>
                          </a:xfrm>
                          <a:prstGeom prst="rect">
                            <a:avLst/>
                          </a:prstGeom>
                          <a:noFill/>
                          <a:ln>
                            <a:noFill/>
                          </a:ln>
                        </pic:spPr>
                      </pic:pic>
                    </a:graphicData>
                  </a:graphic>
                </wp:inline>
              </w:drawing>
            </w:r>
          </w:p>
        </w:tc>
      </w:tr>
      <w:tr w:rsidR="005C01F4" w14:paraId="4E0E5EBD" w14:textId="77777777" w:rsidTr="00A41A6B">
        <w:tc>
          <w:tcPr>
            <w:tcW w:w="5172" w:type="dxa"/>
          </w:tcPr>
          <w:p w14:paraId="3DBD5DC0" w14:textId="77777777" w:rsidR="005C01F4" w:rsidRPr="0010677C" w:rsidRDefault="005C01F4" w:rsidP="005C01F4">
            <w:pPr>
              <w:pStyle w:val="IEEEFigure"/>
              <w:numPr>
                <w:ilvl w:val="0"/>
                <w:numId w:val="11"/>
              </w:numPr>
              <w:rPr>
                <w:sz w:val="20"/>
                <w:szCs w:val="20"/>
              </w:rPr>
            </w:pPr>
          </w:p>
        </w:tc>
        <w:tc>
          <w:tcPr>
            <w:tcW w:w="5173" w:type="dxa"/>
          </w:tcPr>
          <w:p w14:paraId="24C2539C" w14:textId="77777777" w:rsidR="005C01F4" w:rsidRPr="0010677C" w:rsidRDefault="005C01F4" w:rsidP="005C01F4">
            <w:pPr>
              <w:pStyle w:val="IEEEFigure"/>
              <w:numPr>
                <w:ilvl w:val="0"/>
                <w:numId w:val="11"/>
              </w:numPr>
              <w:rPr>
                <w:sz w:val="20"/>
                <w:szCs w:val="20"/>
              </w:rPr>
            </w:pPr>
          </w:p>
        </w:tc>
      </w:tr>
    </w:tbl>
    <w:p w14:paraId="5C2ECD2A" w14:textId="435582AE" w:rsidR="00A279BD" w:rsidRPr="00C66488" w:rsidRDefault="00A279BD" w:rsidP="00A279BD">
      <w:pPr>
        <w:pStyle w:val="IEEEFigureCaptionSingle-Line"/>
        <w:rPr>
          <w:sz w:val="20"/>
        </w:rPr>
      </w:pPr>
      <w:r>
        <w:rPr>
          <w:sz w:val="20"/>
        </w:rPr>
        <w:t>Fig. 2</w:t>
      </w:r>
      <w:r w:rsidRPr="00787FF7">
        <w:rPr>
          <w:sz w:val="20"/>
        </w:rPr>
        <w:t xml:space="preserve">. </w:t>
      </w:r>
      <w:r w:rsidR="00311542">
        <w:rPr>
          <w:sz w:val="20"/>
        </w:rPr>
        <w:t xml:space="preserve">Manufactured </w:t>
      </w:r>
      <w:r w:rsidR="00311542" w:rsidRPr="00311542">
        <w:rPr>
          <w:sz w:val="20"/>
        </w:rPr>
        <w:t xml:space="preserve">prototype of the </w:t>
      </w:r>
      <w:r w:rsidRPr="00787FF7">
        <w:rPr>
          <w:sz w:val="20"/>
        </w:rPr>
        <w:t xml:space="preserve">dual-band </w:t>
      </w:r>
      <w:r>
        <w:rPr>
          <w:sz w:val="20"/>
        </w:rPr>
        <w:t>3D printed</w:t>
      </w:r>
      <w:r w:rsidRPr="00787FF7">
        <w:rPr>
          <w:sz w:val="20"/>
        </w:rPr>
        <w:t xml:space="preserve"> antenna</w:t>
      </w:r>
      <w:r>
        <w:rPr>
          <w:sz w:val="20"/>
        </w:rPr>
        <w:t>:</w:t>
      </w:r>
      <w:r w:rsidRPr="00787FF7">
        <w:rPr>
          <w:sz w:val="20"/>
        </w:rPr>
        <w:t xml:space="preserve"> (a) Top view, (b) Bottom</w:t>
      </w:r>
      <w:r>
        <w:rPr>
          <w:sz w:val="20"/>
        </w:rPr>
        <w:t xml:space="preserve"> </w:t>
      </w:r>
      <w:r w:rsidRPr="00787FF7">
        <w:rPr>
          <w:sz w:val="20"/>
        </w:rPr>
        <w:t>view</w:t>
      </w:r>
    </w:p>
    <w:p w14:paraId="60FAF4EC" w14:textId="77777777" w:rsidR="009C0A65" w:rsidRPr="009C0A65" w:rsidRDefault="009C0A65" w:rsidP="009C0A65">
      <w:pPr>
        <w:pStyle w:val="IEEEParagraph"/>
        <w:ind w:firstLine="170"/>
        <w:rPr>
          <w:sz w:val="24"/>
        </w:rPr>
      </w:pPr>
    </w:p>
    <w:p w14:paraId="1692DF79" w14:textId="183A619A" w:rsidR="009C0A65" w:rsidRDefault="009C0A65" w:rsidP="009C0A65">
      <w:pPr>
        <w:pStyle w:val="IEEEParagraph"/>
        <w:ind w:firstLine="170"/>
        <w:rPr>
          <w:sz w:val="24"/>
        </w:rPr>
      </w:pPr>
      <w:r w:rsidRPr="009C0A65">
        <w:rPr>
          <w:sz w:val="24"/>
        </w:rPr>
        <w:t xml:space="preserve">To evaluate the performance of the fabricated antenna, return loss measurements were carried out using the </w:t>
      </w:r>
      <w:r w:rsidR="00D252B3">
        <w:rPr>
          <w:sz w:val="24"/>
        </w:rPr>
        <w:t xml:space="preserve">Keysight </w:t>
      </w:r>
      <w:r w:rsidR="00D252B3" w:rsidRPr="00D252B3">
        <w:rPr>
          <w:sz w:val="24"/>
        </w:rPr>
        <w:t xml:space="preserve">N5224A PNA Microwave </w:t>
      </w:r>
      <w:r w:rsidR="00D252B3">
        <w:rPr>
          <w:sz w:val="24"/>
        </w:rPr>
        <w:t xml:space="preserve">Vector </w:t>
      </w:r>
      <w:r w:rsidR="00D252B3" w:rsidRPr="00D252B3">
        <w:rPr>
          <w:sz w:val="24"/>
        </w:rPr>
        <w:t>Network Analyzer</w:t>
      </w:r>
      <w:r w:rsidRPr="009C0A65">
        <w:rPr>
          <w:sz w:val="24"/>
        </w:rPr>
        <w:t xml:space="preserve">. These measurements are critical for assessing the antenna’s impedance matching and resonance behavior at the target frequencies. </w:t>
      </w:r>
      <w:r w:rsidR="00083C0A" w:rsidRPr="00083C0A">
        <w:rPr>
          <w:sz w:val="24"/>
        </w:rPr>
        <w:t xml:space="preserve">The results, as presented in Fig. 3, show </w:t>
      </w:r>
      <w:r w:rsidR="00B14DD1" w:rsidRPr="00B14DD1">
        <w:rPr>
          <w:sz w:val="24"/>
        </w:rPr>
        <w:t>a strong agreement between the simulated and experimental results</w:t>
      </w:r>
      <w:r w:rsidR="00083C0A" w:rsidRPr="00083C0A">
        <w:rPr>
          <w:sz w:val="24"/>
        </w:rPr>
        <w:t>, verifying the precision of the design.</w:t>
      </w:r>
      <w:r w:rsidR="00083C0A">
        <w:rPr>
          <w:sz w:val="24"/>
        </w:rPr>
        <w:t xml:space="preserve"> B</w:t>
      </w:r>
      <w:r w:rsidR="00083C0A" w:rsidRPr="00083C0A">
        <w:rPr>
          <w:sz w:val="24"/>
        </w:rPr>
        <w:t xml:space="preserve">oth </w:t>
      </w:r>
      <w:r w:rsidR="00083C0A">
        <w:rPr>
          <w:sz w:val="24"/>
        </w:rPr>
        <w:t xml:space="preserve">results </w:t>
      </w:r>
      <w:r w:rsidR="00083C0A" w:rsidRPr="00083C0A">
        <w:rPr>
          <w:sz w:val="24"/>
        </w:rPr>
        <w:t>are almost identical, confirming that the antenna operates as expected and delivers efficient performance in the 2.45 GHz and 5.8 GHz ISM bands.</w:t>
      </w:r>
    </w:p>
    <w:p w14:paraId="7B6CCA37" w14:textId="77777777" w:rsidR="00B64C77" w:rsidRDefault="00B64C77" w:rsidP="009C0A65">
      <w:pPr>
        <w:pStyle w:val="IEEEParagraph"/>
        <w:ind w:firstLine="170"/>
        <w:rPr>
          <w:sz w:val="24"/>
        </w:rPr>
      </w:pPr>
    </w:p>
    <w:p w14:paraId="666F7CA2" w14:textId="7AC29616" w:rsidR="00066CD4" w:rsidRDefault="00E72C99" w:rsidP="00E72C99">
      <w:pPr>
        <w:pStyle w:val="IEEEParagraph"/>
        <w:ind w:firstLine="170"/>
        <w:jc w:val="center"/>
        <w:rPr>
          <w:sz w:val="24"/>
        </w:rPr>
      </w:pPr>
      <w:r>
        <w:rPr>
          <w:noProof/>
          <w:lang w:val="tr-TR" w:eastAsia="tr-TR"/>
        </w:rPr>
        <w:drawing>
          <wp:inline distT="0" distB="0" distL="0" distR="0" wp14:anchorId="4101BE16" wp14:editId="02A53472">
            <wp:extent cx="3571875" cy="2652438"/>
            <wp:effectExtent l="0" t="0" r="0" b="0"/>
            <wp:docPr id="136599583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583782" cy="2661280"/>
                    </a:xfrm>
                    <a:prstGeom prst="rect">
                      <a:avLst/>
                    </a:prstGeom>
                    <a:noFill/>
                    <a:ln>
                      <a:noFill/>
                    </a:ln>
                  </pic:spPr>
                </pic:pic>
              </a:graphicData>
            </a:graphic>
          </wp:inline>
        </w:drawing>
      </w:r>
    </w:p>
    <w:p w14:paraId="1C1F00FF" w14:textId="56CF51D2" w:rsidR="00E72C99" w:rsidRDefault="00E72C99" w:rsidP="00E72C99">
      <w:pPr>
        <w:pStyle w:val="IEEEFigureCaptionSingle-Line"/>
        <w:rPr>
          <w:sz w:val="20"/>
        </w:rPr>
      </w:pPr>
      <w:r>
        <w:rPr>
          <w:sz w:val="20"/>
        </w:rPr>
        <w:t>Fig. 3</w:t>
      </w:r>
      <w:r w:rsidRPr="00787FF7">
        <w:rPr>
          <w:sz w:val="20"/>
        </w:rPr>
        <w:t xml:space="preserve">. </w:t>
      </w:r>
      <w:r w:rsidRPr="00E72C99">
        <w:rPr>
          <w:sz w:val="20"/>
        </w:rPr>
        <w:t>Comparison of</w:t>
      </w:r>
      <w:r>
        <w:rPr>
          <w:sz w:val="20"/>
        </w:rPr>
        <w:t xml:space="preserve"> s</w:t>
      </w:r>
      <w:r w:rsidRPr="00E72C99">
        <w:rPr>
          <w:sz w:val="20"/>
        </w:rPr>
        <w:t>imulated and measured return loss</w:t>
      </w:r>
      <w:r>
        <w:rPr>
          <w:sz w:val="20"/>
        </w:rPr>
        <w:t xml:space="preserve"> </w:t>
      </w:r>
    </w:p>
    <w:p w14:paraId="79CEC3DA" w14:textId="77777777" w:rsidR="00CA5E8A" w:rsidRPr="00CA5E8A" w:rsidRDefault="00CA5E8A" w:rsidP="00CA5E8A">
      <w:pPr>
        <w:pStyle w:val="IEEEParagraph"/>
      </w:pPr>
    </w:p>
    <w:p w14:paraId="39A26300" w14:textId="06F08590" w:rsidR="00E72C99" w:rsidRDefault="009C1E89" w:rsidP="009C0A65">
      <w:pPr>
        <w:pStyle w:val="IEEEParagraph"/>
        <w:ind w:firstLine="170"/>
        <w:rPr>
          <w:sz w:val="24"/>
        </w:rPr>
      </w:pPr>
      <w:r w:rsidRPr="009C1E89">
        <w:rPr>
          <w:sz w:val="24"/>
        </w:rPr>
        <w:t xml:space="preserve">The radiation characteristics of the antenna were examined through 3D radiation patterns at the resonant frequencies of 2.45 GHz and 5.8 GHz. As depicted in Fig. 4, at 2.45 GHz, the antenna exhibits bidirectional radiation in the </w:t>
      </w:r>
      <w:r w:rsidR="00681AE1" w:rsidRPr="00681AE1">
        <w:rPr>
          <w:i/>
          <w:sz w:val="24"/>
        </w:rPr>
        <w:t>xz</w:t>
      </w:r>
      <w:r w:rsidR="00681AE1">
        <w:rPr>
          <w:sz w:val="24"/>
        </w:rPr>
        <w:t>-</w:t>
      </w:r>
      <w:r w:rsidRPr="009C1E89">
        <w:rPr>
          <w:sz w:val="24"/>
        </w:rPr>
        <w:t xml:space="preserve">plane </w:t>
      </w:r>
      <w:r w:rsidR="00681AE1">
        <w:rPr>
          <w:sz w:val="24"/>
        </w:rPr>
        <w:t>(</w:t>
      </w:r>
      <w:r w:rsidR="00681AE1" w:rsidRPr="00681AE1">
        <w:rPr>
          <w:i/>
          <w:sz w:val="24"/>
        </w:rPr>
        <w:t>E</w:t>
      </w:r>
      <w:r w:rsidR="00681AE1">
        <w:rPr>
          <w:sz w:val="24"/>
        </w:rPr>
        <w:t xml:space="preserve">) </w:t>
      </w:r>
      <w:r w:rsidRPr="009C1E89">
        <w:rPr>
          <w:sz w:val="24"/>
        </w:rPr>
        <w:t>and om</w:t>
      </w:r>
      <w:r w:rsidR="00681AE1">
        <w:rPr>
          <w:sz w:val="24"/>
        </w:rPr>
        <w:t xml:space="preserve">nidirectional radiation in the </w:t>
      </w:r>
      <w:r w:rsidR="00681AE1" w:rsidRPr="00681AE1">
        <w:rPr>
          <w:i/>
          <w:sz w:val="24"/>
        </w:rPr>
        <w:t>yz</w:t>
      </w:r>
      <w:r w:rsidRPr="009C1E89">
        <w:rPr>
          <w:sz w:val="24"/>
        </w:rPr>
        <w:t>-plane</w:t>
      </w:r>
      <w:r w:rsidR="00681AE1">
        <w:rPr>
          <w:sz w:val="24"/>
        </w:rPr>
        <w:t xml:space="preserve"> (</w:t>
      </w:r>
      <w:r w:rsidR="00681AE1" w:rsidRPr="00681AE1">
        <w:rPr>
          <w:i/>
          <w:sz w:val="24"/>
        </w:rPr>
        <w:t>H</w:t>
      </w:r>
      <w:r w:rsidR="00681AE1">
        <w:rPr>
          <w:sz w:val="24"/>
        </w:rPr>
        <w:t>)</w:t>
      </w:r>
      <w:r w:rsidRPr="009C1E89">
        <w:rPr>
          <w:sz w:val="24"/>
        </w:rPr>
        <w:t>. In contrast, at 5.8 GHz, the radiation patt</w:t>
      </w:r>
      <w:r w:rsidR="00681AE1">
        <w:rPr>
          <w:sz w:val="24"/>
        </w:rPr>
        <w:t xml:space="preserve">ern becomes directional in the </w:t>
      </w:r>
      <w:r w:rsidR="00681AE1" w:rsidRPr="00681AE1">
        <w:rPr>
          <w:i/>
          <w:sz w:val="24"/>
        </w:rPr>
        <w:t>xz</w:t>
      </w:r>
      <w:r w:rsidRPr="009C1E89">
        <w:rPr>
          <w:sz w:val="24"/>
        </w:rPr>
        <w:t>-plane, while maintai</w:t>
      </w:r>
      <w:r w:rsidR="00681AE1">
        <w:rPr>
          <w:sz w:val="24"/>
        </w:rPr>
        <w:t xml:space="preserve">ning omnidirectionality in the </w:t>
      </w:r>
      <w:r w:rsidR="00681AE1" w:rsidRPr="00681AE1">
        <w:rPr>
          <w:i/>
          <w:sz w:val="24"/>
        </w:rPr>
        <w:t>yz</w:t>
      </w:r>
      <w:r w:rsidRPr="009C1E89">
        <w:rPr>
          <w:sz w:val="24"/>
        </w:rPr>
        <w:t xml:space="preserve">-plane. The antenna demonstrates reliable performance </w:t>
      </w:r>
      <w:r w:rsidR="00681AE1" w:rsidRPr="00681AE1">
        <w:rPr>
          <w:sz w:val="24"/>
        </w:rPr>
        <w:t>across both the 2.45 GHz and 5.8 GHz ISM frequency ranges</w:t>
      </w:r>
      <w:r w:rsidRPr="009C1E89">
        <w:rPr>
          <w:sz w:val="24"/>
        </w:rPr>
        <w:t>, with peak gains of 3.5 dBi and 3.92 dBi, respectively.</w:t>
      </w:r>
    </w:p>
    <w:p w14:paraId="4E65E137" w14:textId="77777777" w:rsidR="00CA5E8A" w:rsidRDefault="00CA5E8A" w:rsidP="009C0A65">
      <w:pPr>
        <w:pStyle w:val="IEEEParagraph"/>
        <w:ind w:firstLine="170"/>
        <w:rPr>
          <w:sz w:val="24"/>
        </w:rPr>
      </w:pPr>
    </w:p>
    <w:p w14:paraId="3367B701" w14:textId="77777777" w:rsidR="00CA5E8A" w:rsidRDefault="00CA5E8A" w:rsidP="009C0A65">
      <w:pPr>
        <w:pStyle w:val="IEEEParagraph"/>
        <w:ind w:firstLine="170"/>
        <w:rPr>
          <w:sz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2"/>
        <w:gridCol w:w="5113"/>
      </w:tblGrid>
      <w:tr w:rsidR="00760410" w14:paraId="572CBA7B" w14:textId="77777777" w:rsidTr="00760410">
        <w:trPr>
          <w:trHeight w:val="4535"/>
        </w:trPr>
        <w:tc>
          <w:tcPr>
            <w:tcW w:w="5172" w:type="dxa"/>
          </w:tcPr>
          <w:p w14:paraId="0CA0AD28" w14:textId="77777777" w:rsidR="00245C19" w:rsidRDefault="00245C19" w:rsidP="00A41A6B">
            <w:pPr>
              <w:pStyle w:val="IEEEFigure"/>
            </w:pPr>
            <w:r w:rsidRPr="0010677C">
              <w:rPr>
                <w:noProof/>
                <w:lang w:val="tr-TR" w:eastAsia="tr-TR"/>
              </w:rPr>
              <w:lastRenderedPageBreak/>
              <w:drawing>
                <wp:inline distT="0" distB="0" distL="0" distR="0" wp14:anchorId="02C5E526" wp14:editId="5562BD8B">
                  <wp:extent cx="3111135" cy="3240000"/>
                  <wp:effectExtent l="0" t="0" r="0" b="0"/>
                  <wp:docPr id="1607011112" name="Resim 160701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011112" name="Resim 160701111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111135" cy="3240000"/>
                          </a:xfrm>
                          <a:prstGeom prst="rect">
                            <a:avLst/>
                          </a:prstGeom>
                          <a:noFill/>
                          <a:ln>
                            <a:noFill/>
                          </a:ln>
                        </pic:spPr>
                      </pic:pic>
                    </a:graphicData>
                  </a:graphic>
                </wp:inline>
              </w:drawing>
            </w:r>
          </w:p>
        </w:tc>
        <w:tc>
          <w:tcPr>
            <w:tcW w:w="5173" w:type="dxa"/>
          </w:tcPr>
          <w:p w14:paraId="0B1F9F3E" w14:textId="77777777" w:rsidR="00245C19" w:rsidRDefault="00245C19" w:rsidP="00A41A6B">
            <w:pPr>
              <w:pStyle w:val="IEEEFigure"/>
            </w:pPr>
            <w:r w:rsidRPr="0010677C">
              <w:rPr>
                <w:noProof/>
                <w:lang w:val="tr-TR" w:eastAsia="tr-TR"/>
              </w:rPr>
              <w:drawing>
                <wp:inline distT="0" distB="0" distL="0" distR="0" wp14:anchorId="4DD73E19" wp14:editId="45FD0188">
                  <wp:extent cx="3119830" cy="3240000"/>
                  <wp:effectExtent l="0" t="0" r="4445" b="0"/>
                  <wp:docPr id="691761040" name="Resim 69176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761040" name="Resim 69176104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119830" cy="3240000"/>
                          </a:xfrm>
                          <a:prstGeom prst="rect">
                            <a:avLst/>
                          </a:prstGeom>
                          <a:noFill/>
                          <a:ln>
                            <a:noFill/>
                          </a:ln>
                        </pic:spPr>
                      </pic:pic>
                    </a:graphicData>
                  </a:graphic>
                </wp:inline>
              </w:drawing>
            </w:r>
          </w:p>
        </w:tc>
      </w:tr>
      <w:tr w:rsidR="00760410" w14:paraId="74E5BEF5" w14:textId="77777777" w:rsidTr="00A41A6B">
        <w:tc>
          <w:tcPr>
            <w:tcW w:w="5172" w:type="dxa"/>
          </w:tcPr>
          <w:p w14:paraId="69FAD9EC" w14:textId="77777777" w:rsidR="00245C19" w:rsidRPr="0010677C" w:rsidRDefault="00245C19" w:rsidP="00245C19">
            <w:pPr>
              <w:pStyle w:val="IEEEFigure"/>
              <w:numPr>
                <w:ilvl w:val="0"/>
                <w:numId w:val="12"/>
              </w:numPr>
              <w:rPr>
                <w:sz w:val="20"/>
                <w:szCs w:val="20"/>
              </w:rPr>
            </w:pPr>
          </w:p>
        </w:tc>
        <w:tc>
          <w:tcPr>
            <w:tcW w:w="5173" w:type="dxa"/>
          </w:tcPr>
          <w:p w14:paraId="57871963" w14:textId="77777777" w:rsidR="00245C19" w:rsidRPr="0010677C" w:rsidRDefault="00245C19" w:rsidP="00245C19">
            <w:pPr>
              <w:pStyle w:val="IEEEFigure"/>
              <w:numPr>
                <w:ilvl w:val="0"/>
                <w:numId w:val="12"/>
              </w:numPr>
              <w:rPr>
                <w:sz w:val="20"/>
                <w:szCs w:val="20"/>
              </w:rPr>
            </w:pPr>
          </w:p>
        </w:tc>
      </w:tr>
    </w:tbl>
    <w:p w14:paraId="2CDBAE99" w14:textId="75A7F2CB" w:rsidR="00245C19" w:rsidRDefault="00245C19" w:rsidP="00553F51">
      <w:pPr>
        <w:pStyle w:val="IEEEFigureCaptionSingle-Line"/>
        <w:rPr>
          <w:sz w:val="20"/>
        </w:rPr>
      </w:pPr>
      <w:r>
        <w:rPr>
          <w:sz w:val="20"/>
        </w:rPr>
        <w:t xml:space="preserve">Fig. </w:t>
      </w:r>
      <w:r w:rsidR="006F2A27">
        <w:rPr>
          <w:sz w:val="20"/>
        </w:rPr>
        <w:t>4</w:t>
      </w:r>
      <w:r w:rsidRPr="00787FF7">
        <w:rPr>
          <w:sz w:val="20"/>
        </w:rPr>
        <w:t xml:space="preserve">. </w:t>
      </w:r>
      <w:r w:rsidR="00553F51">
        <w:rPr>
          <w:sz w:val="20"/>
        </w:rPr>
        <w:t>3D r</w:t>
      </w:r>
      <w:r w:rsidR="00553F51" w:rsidRPr="00553F51">
        <w:rPr>
          <w:sz w:val="20"/>
        </w:rPr>
        <w:t>adiation pattern</w:t>
      </w:r>
      <w:r w:rsidR="00553F51">
        <w:rPr>
          <w:sz w:val="20"/>
        </w:rPr>
        <w:t>s of the proposed 3D printed</w:t>
      </w:r>
      <w:r w:rsidR="00553F51" w:rsidRPr="00787FF7">
        <w:rPr>
          <w:sz w:val="20"/>
        </w:rPr>
        <w:t xml:space="preserve"> antenna </w:t>
      </w:r>
      <w:r w:rsidR="00553F51" w:rsidRPr="00553F51">
        <w:rPr>
          <w:sz w:val="20"/>
        </w:rPr>
        <w:t xml:space="preserve">(a) </w:t>
      </w:r>
      <w:r w:rsidR="00553F51">
        <w:rPr>
          <w:sz w:val="20"/>
        </w:rPr>
        <w:t xml:space="preserve">at </w:t>
      </w:r>
      <w:r w:rsidR="00553F51" w:rsidRPr="00553F51">
        <w:rPr>
          <w:sz w:val="20"/>
        </w:rPr>
        <w:t>2.4</w:t>
      </w:r>
      <w:r w:rsidR="006F2A27">
        <w:rPr>
          <w:sz w:val="20"/>
        </w:rPr>
        <w:t>5</w:t>
      </w:r>
      <w:r w:rsidR="00553F51" w:rsidRPr="00553F51">
        <w:rPr>
          <w:sz w:val="20"/>
        </w:rPr>
        <w:t xml:space="preserve"> GHz</w:t>
      </w:r>
      <w:r w:rsidR="00553F51">
        <w:rPr>
          <w:sz w:val="20"/>
        </w:rPr>
        <w:t xml:space="preserve"> </w:t>
      </w:r>
      <w:r w:rsidR="00553F51" w:rsidRPr="00553F51">
        <w:rPr>
          <w:sz w:val="20"/>
        </w:rPr>
        <w:t xml:space="preserve">(b) </w:t>
      </w:r>
      <w:r w:rsidR="00553F51">
        <w:rPr>
          <w:sz w:val="20"/>
        </w:rPr>
        <w:t xml:space="preserve">at </w:t>
      </w:r>
      <w:r w:rsidR="00553F51" w:rsidRPr="00553F51">
        <w:rPr>
          <w:sz w:val="20"/>
        </w:rPr>
        <w:t>5.8 GHz.</w:t>
      </w:r>
    </w:p>
    <w:p w14:paraId="50F052BF" w14:textId="77777777" w:rsidR="00CA5E8A" w:rsidRPr="00CA5E8A" w:rsidRDefault="00CA5E8A" w:rsidP="00CA5E8A">
      <w:pPr>
        <w:pStyle w:val="IEEEParagraph"/>
      </w:pPr>
    </w:p>
    <w:p w14:paraId="011D75E7" w14:textId="7DBCA846" w:rsidR="009C0A65" w:rsidRPr="009C0A65" w:rsidRDefault="009C1E89" w:rsidP="009C0A65">
      <w:pPr>
        <w:pStyle w:val="IEEEParagraph"/>
        <w:ind w:firstLine="170"/>
        <w:rPr>
          <w:sz w:val="24"/>
        </w:rPr>
      </w:pPr>
      <w:r w:rsidRPr="009C1E89">
        <w:rPr>
          <w:sz w:val="24"/>
        </w:rPr>
        <w:t xml:space="preserve">Fig. 5 </w:t>
      </w:r>
      <w:r w:rsidR="00681AE1" w:rsidRPr="00681AE1">
        <w:rPr>
          <w:sz w:val="24"/>
        </w:rPr>
        <w:t xml:space="preserve">depicts the current flow distribution </w:t>
      </w:r>
      <w:r w:rsidRPr="009C1E89">
        <w:rPr>
          <w:sz w:val="24"/>
        </w:rPr>
        <w:t xml:space="preserve">across the antenna. At 2.45 GHz, the current primarily accumulates around the perimeter of the </w:t>
      </w:r>
      <w:r w:rsidR="00681AE1">
        <w:rPr>
          <w:sz w:val="24"/>
        </w:rPr>
        <w:t>slots</w:t>
      </w:r>
      <w:r w:rsidRPr="009C1E89">
        <w:rPr>
          <w:sz w:val="24"/>
        </w:rPr>
        <w:t>, as depicted in Fig. 5(a). Conversely, at 5.8 GHz, the highest current concentration is observed near the patch edges and U-shaped slot, as shown in Fig. 5(b).</w:t>
      </w:r>
      <w:r w:rsidR="00280ACB" w:rsidRPr="00280ACB">
        <w:rPr>
          <w:sz w:val="24"/>
        </w:rPr>
        <w:t xml:space="preserve">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105"/>
      </w:tblGrid>
      <w:tr w:rsidR="006F2A27" w14:paraId="76BB774D" w14:textId="77777777" w:rsidTr="00A41A6B">
        <w:tc>
          <w:tcPr>
            <w:tcW w:w="5172" w:type="dxa"/>
          </w:tcPr>
          <w:p w14:paraId="498B0F2E" w14:textId="77777777" w:rsidR="006F2A27" w:rsidRDefault="006F2A27" w:rsidP="00A41A6B">
            <w:pPr>
              <w:pStyle w:val="IEEEFigure"/>
            </w:pPr>
            <w:r w:rsidRPr="0010677C">
              <w:rPr>
                <w:noProof/>
                <w:lang w:val="tr-TR" w:eastAsia="tr-TR"/>
              </w:rPr>
              <w:drawing>
                <wp:inline distT="0" distB="0" distL="0" distR="0" wp14:anchorId="2D1EBAA2" wp14:editId="39D68D71">
                  <wp:extent cx="2301829" cy="2025015"/>
                  <wp:effectExtent l="0" t="0" r="3810" b="0"/>
                  <wp:docPr id="1292362280" name="Resim 129236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362280" name="Resim 129236228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0375"/>
                          <a:stretch/>
                        </pic:blipFill>
                        <pic:spPr bwMode="auto">
                          <a:xfrm>
                            <a:off x="0" y="0"/>
                            <a:ext cx="2302290" cy="20254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73" w:type="dxa"/>
          </w:tcPr>
          <w:p w14:paraId="76D223FC" w14:textId="77777777" w:rsidR="006F2A27" w:rsidRDefault="006F2A27" w:rsidP="00A41A6B">
            <w:pPr>
              <w:pStyle w:val="IEEEFigure"/>
            </w:pPr>
            <w:r w:rsidRPr="0010677C">
              <w:rPr>
                <w:noProof/>
                <w:lang w:val="tr-TR" w:eastAsia="tr-TR"/>
              </w:rPr>
              <w:drawing>
                <wp:inline distT="0" distB="0" distL="0" distR="0" wp14:anchorId="58E22F7E" wp14:editId="41B0E1E3">
                  <wp:extent cx="2359025" cy="2053837"/>
                  <wp:effectExtent l="0" t="0" r="3175" b="3810"/>
                  <wp:docPr id="1360461320" name="Resim 136046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61320" name="Resim 136046132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907"/>
                          <a:stretch/>
                        </pic:blipFill>
                        <pic:spPr bwMode="auto">
                          <a:xfrm>
                            <a:off x="0" y="0"/>
                            <a:ext cx="2359617" cy="20543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2A27" w14:paraId="228F81C9" w14:textId="77777777" w:rsidTr="00A41A6B">
        <w:tc>
          <w:tcPr>
            <w:tcW w:w="5172" w:type="dxa"/>
          </w:tcPr>
          <w:p w14:paraId="10DCAF73" w14:textId="77777777" w:rsidR="006F2A27" w:rsidRPr="0010677C" w:rsidRDefault="006F2A27" w:rsidP="006F2A27">
            <w:pPr>
              <w:pStyle w:val="IEEEFigure"/>
              <w:numPr>
                <w:ilvl w:val="0"/>
                <w:numId w:val="13"/>
              </w:numPr>
              <w:rPr>
                <w:sz w:val="20"/>
                <w:szCs w:val="20"/>
              </w:rPr>
            </w:pPr>
          </w:p>
        </w:tc>
        <w:tc>
          <w:tcPr>
            <w:tcW w:w="5173" w:type="dxa"/>
          </w:tcPr>
          <w:p w14:paraId="7D438698" w14:textId="77777777" w:rsidR="006F2A27" w:rsidRPr="0010677C" w:rsidRDefault="006F2A27" w:rsidP="006F2A27">
            <w:pPr>
              <w:pStyle w:val="IEEEFigure"/>
              <w:numPr>
                <w:ilvl w:val="0"/>
                <w:numId w:val="13"/>
              </w:numPr>
              <w:rPr>
                <w:sz w:val="20"/>
                <w:szCs w:val="20"/>
              </w:rPr>
            </w:pPr>
          </w:p>
        </w:tc>
      </w:tr>
    </w:tbl>
    <w:p w14:paraId="7672CC90" w14:textId="1DBCF8F8" w:rsidR="006F2A27" w:rsidRDefault="006F2A27" w:rsidP="006F2A27">
      <w:pPr>
        <w:pStyle w:val="IEEEFigureCaptionSingle-Line"/>
        <w:rPr>
          <w:sz w:val="20"/>
        </w:rPr>
      </w:pPr>
      <w:r>
        <w:rPr>
          <w:sz w:val="20"/>
        </w:rPr>
        <w:t>Fig. 5</w:t>
      </w:r>
      <w:r w:rsidRPr="00787FF7">
        <w:rPr>
          <w:sz w:val="20"/>
        </w:rPr>
        <w:t xml:space="preserve">. </w:t>
      </w:r>
      <w:r w:rsidRPr="006F2A27">
        <w:rPr>
          <w:sz w:val="20"/>
        </w:rPr>
        <w:t>Surface current distribution</w:t>
      </w:r>
      <w:r>
        <w:rPr>
          <w:sz w:val="20"/>
        </w:rPr>
        <w:t>s of the proposed 3D printed</w:t>
      </w:r>
      <w:r w:rsidRPr="00787FF7">
        <w:rPr>
          <w:sz w:val="20"/>
        </w:rPr>
        <w:t xml:space="preserve"> antenna </w:t>
      </w:r>
      <w:r w:rsidRPr="00553F51">
        <w:rPr>
          <w:sz w:val="20"/>
        </w:rPr>
        <w:t xml:space="preserve">(a) </w:t>
      </w:r>
      <w:r>
        <w:rPr>
          <w:sz w:val="20"/>
        </w:rPr>
        <w:t xml:space="preserve">at </w:t>
      </w:r>
      <w:r w:rsidRPr="00553F51">
        <w:rPr>
          <w:sz w:val="20"/>
        </w:rPr>
        <w:t>2.4</w:t>
      </w:r>
      <w:r>
        <w:rPr>
          <w:sz w:val="20"/>
        </w:rPr>
        <w:t>5</w:t>
      </w:r>
      <w:r w:rsidRPr="00553F51">
        <w:rPr>
          <w:sz w:val="20"/>
        </w:rPr>
        <w:t xml:space="preserve"> GHz</w:t>
      </w:r>
      <w:r>
        <w:rPr>
          <w:sz w:val="20"/>
        </w:rPr>
        <w:t xml:space="preserve"> </w:t>
      </w:r>
      <w:r w:rsidRPr="00553F51">
        <w:rPr>
          <w:sz w:val="20"/>
        </w:rPr>
        <w:t xml:space="preserve">(b) </w:t>
      </w:r>
      <w:r>
        <w:rPr>
          <w:sz w:val="20"/>
        </w:rPr>
        <w:t xml:space="preserve">at </w:t>
      </w:r>
      <w:r w:rsidRPr="00553F51">
        <w:rPr>
          <w:sz w:val="20"/>
        </w:rPr>
        <w:t>5.8 GHz.</w:t>
      </w:r>
    </w:p>
    <w:p w14:paraId="4B6D562D" w14:textId="77777777" w:rsidR="00CA5E8A" w:rsidRPr="00CA5E8A" w:rsidRDefault="00CA5E8A" w:rsidP="00CA5E8A">
      <w:pPr>
        <w:pStyle w:val="IEEEParagraph"/>
      </w:pPr>
    </w:p>
    <w:p w14:paraId="6240C73A" w14:textId="362244CF" w:rsidR="009C0A65" w:rsidRPr="00B64C77" w:rsidRDefault="00B64C77" w:rsidP="00B64C77">
      <w:pPr>
        <w:pStyle w:val="IEEEHeading2"/>
        <w:numPr>
          <w:ilvl w:val="0"/>
          <w:numId w:val="15"/>
        </w:numPr>
        <w:rPr>
          <w:sz w:val="24"/>
        </w:rPr>
      </w:pPr>
      <w:r w:rsidRPr="00B64C77">
        <w:rPr>
          <w:sz w:val="24"/>
        </w:rPr>
        <w:t>SAR Analysis</w:t>
      </w:r>
    </w:p>
    <w:p w14:paraId="7D732131" w14:textId="48398D9F" w:rsidR="006811E1" w:rsidRDefault="006F2A27" w:rsidP="009C0A65">
      <w:pPr>
        <w:pStyle w:val="IEEEParagraph"/>
        <w:ind w:firstLine="170"/>
        <w:rPr>
          <w:sz w:val="24"/>
        </w:rPr>
      </w:pPr>
      <w:r w:rsidRPr="006F2A27">
        <w:rPr>
          <w:sz w:val="24"/>
        </w:rPr>
        <w:t xml:space="preserve">The human body can be influenced by the near-field radiation emitted by </w:t>
      </w:r>
      <w:r w:rsidR="003D6F25">
        <w:rPr>
          <w:sz w:val="24"/>
        </w:rPr>
        <w:t>biomedical</w:t>
      </w:r>
      <w:r w:rsidRPr="006F2A27">
        <w:rPr>
          <w:sz w:val="24"/>
        </w:rPr>
        <w:t xml:space="preserve"> antennas, making it crucial to consider the power absorbed by the body. Reactive near-field energy, which is non-radiating, accumulates around the antenna and can result in heating effects in nearby lossy materials, including human tissue. Specific Absorption Rate (SAR) is a widely recognized metric for quantifying the electromagnetic power absorbed by biological tiss</w:t>
      </w:r>
      <w:r w:rsidR="000D5AB5">
        <w:rPr>
          <w:sz w:val="24"/>
        </w:rPr>
        <w:t>ues.</w:t>
      </w:r>
      <w:r w:rsidR="003D6F25" w:rsidRPr="003D6F25">
        <w:rPr>
          <w:sz w:val="24"/>
        </w:rPr>
        <w:t xml:space="preserve"> According to FCC and IEEE standards, the maximum allowable SAR value is 1.6 W/kg,</w:t>
      </w:r>
      <w:r w:rsidR="003D6F25">
        <w:rPr>
          <w:sz w:val="24"/>
        </w:rPr>
        <w:t xml:space="preserve"> averaged over 1 gram of tissue </w:t>
      </w:r>
      <w:r w:rsidR="003D6F25">
        <w:rPr>
          <w:sz w:val="24"/>
        </w:rPr>
        <w:fldChar w:fldCharType="begin"/>
      </w:r>
      <w:r w:rsidR="006912C7">
        <w:rPr>
          <w:sz w:val="24"/>
        </w:rPr>
        <w:instrText xml:space="preserve"> ADDIN EN.CITE &lt;EndNote&gt;&lt;Cite&gt;&lt;Author&gt;1-&lt;/Author&gt;&lt;Year&gt;2019&lt;/Year&gt;&lt;RecNum&gt;11&lt;/RecNum&gt;&lt;DisplayText&gt;[11, 12]&lt;/DisplayText&gt;&lt;record&gt;&lt;rec-number&gt;11&lt;/rec-number&gt;&lt;foreign-keys&gt;&lt;key app="EN" db-id="x09rref955pwziett20vds0merwawtxseszv" timestamp="1733914218"&gt;11&lt;/key&gt;&lt;/foreign-keys&gt;&lt;ref-type name="Journal Article"&gt;17&lt;/ref-type&gt;&lt;contributors&gt;&lt;authors&gt;&lt;author&gt;IEEE C95. 1-&lt;/author&gt;&lt;/authors&gt;&lt;/contributors&gt;&lt;titles&gt;&lt;title&gt;IEEE standard for safety levels with respect to human exposure to electric, magnetic, and electromagnetic fields, 0 Hz to 300 GHz&lt;/title&gt;&lt;secondary-title&gt;IEEE Std C95. 1-2019 (Revision of IEEE Std C95. 1-2005/Incorporates IEEE Std C95. 1-2019/Cor 1-2019)&lt;/secondary-title&gt;&lt;/titles&gt;&lt;periodical&gt;&lt;full-title&gt;IEEE Std C95. 1-2019 (Revision of IEEE Std C95. 1-2005/Incorporates IEEE Std C95. 1-2019/Cor 1-2019)&lt;/full-title&gt;&lt;/periodical&gt;&lt;pages&gt;1-312&lt;/pages&gt;&lt;dates&gt;&lt;year&gt;2019&lt;/year&gt;&lt;/dates&gt;&lt;urls&gt;&lt;/urls&gt;&lt;/record&gt;&lt;/Cite&gt;&lt;Cite&gt;&lt;Author&gt;Protection&lt;/Author&gt;&lt;Year&gt;2020&lt;/Year&gt;&lt;RecNum&gt;13&lt;/RecNum&gt;&lt;record&gt;&lt;rec-number&gt;13&lt;/rec-number&gt;&lt;foreign-keys&gt;&lt;key app="EN" db-id="x09rref955pwziett20vds0merwawtxseszv" timestamp="1733915264"&gt;13&lt;/key&gt;&lt;/foreign-keys&gt;&lt;ref-type name="Journal Article"&gt;17&lt;/ref-type&gt;&lt;contributors&gt;&lt;authors&gt;&lt;author&gt;International Commission on Non-Ionizing Radiation Protection&lt;/author&gt;&lt;/authors&gt;&lt;/contributors&gt;&lt;titles&gt;&lt;title&gt;Guidelines for limiting exposure to electromagnetic fields (100 kHz to 300 GHz)&lt;/title&gt;&lt;secondary-title&gt;Health physics&lt;/secondary-title&gt;&lt;/titles&gt;&lt;periodical&gt;&lt;full-title&gt;Health physics&lt;/full-title&gt;&lt;/periodical&gt;&lt;pages&gt;483-524&lt;/pages&gt;&lt;volume&gt;118&lt;/volume&gt;&lt;number&gt;5&lt;/number&gt;&lt;dates&gt;&lt;year&gt;2020&lt;/year&gt;&lt;/dates&gt;&lt;isbn&gt;0017-9078&lt;/isbn&gt;&lt;urls&gt;&lt;/urls&gt;&lt;/record&gt;&lt;/Cite&gt;&lt;/EndNote&gt;</w:instrText>
      </w:r>
      <w:r w:rsidR="003D6F25">
        <w:rPr>
          <w:sz w:val="24"/>
        </w:rPr>
        <w:fldChar w:fldCharType="separate"/>
      </w:r>
      <w:r w:rsidR="006912C7">
        <w:rPr>
          <w:noProof/>
          <w:sz w:val="24"/>
        </w:rPr>
        <w:t>[11, 12]</w:t>
      </w:r>
      <w:r w:rsidR="003D6F25">
        <w:rPr>
          <w:sz w:val="24"/>
        </w:rPr>
        <w:fldChar w:fldCharType="end"/>
      </w:r>
      <w:r w:rsidRPr="006F2A27">
        <w:rPr>
          <w:sz w:val="24"/>
        </w:rPr>
        <w:t>.</w:t>
      </w:r>
      <w:r>
        <w:rPr>
          <w:sz w:val="24"/>
        </w:rPr>
        <w:t xml:space="preserve"> </w:t>
      </w:r>
      <w:r w:rsidR="003D6F25" w:rsidRPr="003D6F25">
        <w:rPr>
          <w:sz w:val="24"/>
        </w:rPr>
        <w:t xml:space="preserve">A three-layer numerical phantom was developed as shown in Fig. 6. </w:t>
      </w:r>
    </w:p>
    <w:p w14:paraId="44D4F22D" w14:textId="13A66D93" w:rsidR="006811E1" w:rsidRDefault="006811E1" w:rsidP="006811E1">
      <w:pPr>
        <w:pStyle w:val="IEEEParagraph"/>
        <w:ind w:firstLine="170"/>
        <w:jc w:val="center"/>
        <w:rPr>
          <w:sz w:val="24"/>
        </w:rPr>
      </w:pPr>
      <w:r w:rsidRPr="006811E1">
        <w:rPr>
          <w:noProof/>
          <w:sz w:val="24"/>
          <w:lang w:val="tr-TR" w:eastAsia="tr-TR"/>
        </w:rPr>
        <w:lastRenderedPageBreak/>
        <w:drawing>
          <wp:inline distT="0" distB="0" distL="0" distR="0" wp14:anchorId="573FE666" wp14:editId="36099DC7">
            <wp:extent cx="2332990" cy="2829528"/>
            <wp:effectExtent l="0" t="0" r="0" b="9525"/>
            <wp:docPr id="1" name="Resim 1" descr="E:\ICFAR 2024 Dual-Band Antenna\S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CFAR 2024 Dual-Band Antenna\SAR.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3249" cy="2866227"/>
                    </a:xfrm>
                    <a:prstGeom prst="rect">
                      <a:avLst/>
                    </a:prstGeom>
                    <a:noFill/>
                    <a:ln>
                      <a:noFill/>
                    </a:ln>
                  </pic:spPr>
                </pic:pic>
              </a:graphicData>
            </a:graphic>
          </wp:inline>
        </w:drawing>
      </w:r>
    </w:p>
    <w:p w14:paraId="72C66389" w14:textId="0215CE7F" w:rsidR="006811E1" w:rsidRDefault="006811E1" w:rsidP="006811E1">
      <w:pPr>
        <w:pStyle w:val="IEEEParagraph"/>
        <w:ind w:firstLine="170"/>
        <w:jc w:val="center"/>
      </w:pPr>
      <w:r>
        <w:t>Fig. 6</w:t>
      </w:r>
      <w:r w:rsidRPr="00787FF7">
        <w:t xml:space="preserve">. </w:t>
      </w:r>
      <w:r w:rsidR="00645B43">
        <w:t>N</w:t>
      </w:r>
      <w:r w:rsidR="00645B43" w:rsidRPr="006811E1">
        <w:t xml:space="preserve">umerical model of the proposed </w:t>
      </w:r>
      <w:r w:rsidR="00645B43">
        <w:t xml:space="preserve">3D printed </w:t>
      </w:r>
      <w:r w:rsidR="00645B43" w:rsidRPr="006811E1">
        <w:t>antenna on a three-layer tissue model</w:t>
      </w:r>
    </w:p>
    <w:p w14:paraId="33EB5E40" w14:textId="77777777" w:rsidR="00CA5E8A" w:rsidRDefault="00CA5E8A" w:rsidP="006811E1">
      <w:pPr>
        <w:pStyle w:val="IEEEParagraph"/>
        <w:ind w:firstLine="170"/>
        <w:jc w:val="center"/>
        <w:rPr>
          <w:sz w:val="24"/>
        </w:rPr>
      </w:pPr>
    </w:p>
    <w:p w14:paraId="522DA989" w14:textId="198A161E" w:rsidR="00183955" w:rsidRDefault="003D6F25" w:rsidP="009C0A65">
      <w:pPr>
        <w:pStyle w:val="IEEEParagraph"/>
        <w:ind w:firstLine="170"/>
        <w:rPr>
          <w:sz w:val="24"/>
        </w:rPr>
      </w:pPr>
      <w:r w:rsidRPr="003D6F25">
        <w:rPr>
          <w:sz w:val="24"/>
        </w:rPr>
        <w:t>The phantom consisted of layers representing skin, fat, and muscle. The electrical properties at the operating frequencies, along with the thickness of ea</w:t>
      </w:r>
      <w:r w:rsidR="008734F4">
        <w:rPr>
          <w:sz w:val="24"/>
        </w:rPr>
        <w:t xml:space="preserve">ch layer, were derived from </w:t>
      </w:r>
      <w:r w:rsidR="008734F4">
        <w:rPr>
          <w:sz w:val="24"/>
        </w:rPr>
        <w:fldChar w:fldCharType="begin"/>
      </w:r>
      <w:r w:rsidR="006912C7">
        <w:rPr>
          <w:sz w:val="24"/>
        </w:rPr>
        <w:instrText xml:space="preserve"> ADDIN EN.CITE &lt;EndNote&gt;&lt;Cite&gt;&lt;Author&gt;1-&lt;/Author&gt;&lt;Year&gt;2019&lt;/Year&gt;&lt;RecNum&gt;11&lt;/RecNum&gt;&lt;DisplayText&gt;[11]&lt;/DisplayText&gt;&lt;record&gt;&lt;rec-number&gt;11&lt;/rec-number&gt;&lt;foreign-keys&gt;&lt;key app="EN" db-id="x09rref955pwziett20vds0merwawtxseszv" timestamp="1733914218"&gt;11&lt;/key&gt;&lt;/foreign-keys&gt;&lt;ref-type name="Journal Article"&gt;17&lt;/ref-type&gt;&lt;contributors&gt;&lt;authors&gt;&lt;author&gt;IEEE C95. 1-&lt;/author&gt;&lt;/authors&gt;&lt;/contributors&gt;&lt;titles&gt;&lt;title&gt;IEEE standard for safety levels with respect to human exposure to electric, magnetic, and electromagnetic fields, 0 Hz to 300 GHz&lt;/title&gt;&lt;secondary-title&gt;IEEE Std C95. 1-2019 (Revision of IEEE Std C95. 1-2005/Incorporates IEEE Std C95. 1-2019/Cor 1-2019)&lt;/secondary-title&gt;&lt;/titles&gt;&lt;periodical&gt;&lt;full-title&gt;IEEE Std C95. 1-2019 (Revision of IEEE Std C95. 1-2005/Incorporates IEEE Std C95. 1-2019/Cor 1-2019)&lt;/full-title&gt;&lt;/periodical&gt;&lt;pages&gt;1-312&lt;/pages&gt;&lt;dates&gt;&lt;year&gt;2019&lt;/year&gt;&lt;/dates&gt;&lt;urls&gt;&lt;/urls&gt;&lt;/record&gt;&lt;/Cite&gt;&lt;/EndNote&gt;</w:instrText>
      </w:r>
      <w:r w:rsidR="008734F4">
        <w:rPr>
          <w:sz w:val="24"/>
        </w:rPr>
        <w:fldChar w:fldCharType="separate"/>
      </w:r>
      <w:r w:rsidR="006912C7">
        <w:rPr>
          <w:noProof/>
          <w:sz w:val="24"/>
        </w:rPr>
        <w:t>[11]</w:t>
      </w:r>
      <w:r w:rsidR="008734F4">
        <w:rPr>
          <w:sz w:val="24"/>
        </w:rPr>
        <w:fldChar w:fldCharType="end"/>
      </w:r>
      <w:r w:rsidRPr="003D6F25">
        <w:rPr>
          <w:sz w:val="24"/>
        </w:rPr>
        <w:t>.</w:t>
      </w:r>
      <w:r w:rsidR="008734F4" w:rsidRPr="008734F4">
        <w:rPr>
          <w:sz w:val="24"/>
        </w:rPr>
        <w:t xml:space="preserve"> At an input power of 0.1 W, the SAR values are </w:t>
      </w:r>
      <w:r w:rsidR="00706FD7">
        <w:rPr>
          <w:sz w:val="24"/>
        </w:rPr>
        <w:t>0.754</w:t>
      </w:r>
      <w:r w:rsidR="008734F4" w:rsidRPr="008734F4">
        <w:rPr>
          <w:sz w:val="24"/>
        </w:rPr>
        <w:t xml:space="preserve"> W/kg a</w:t>
      </w:r>
      <w:r w:rsidR="002B5007">
        <w:rPr>
          <w:sz w:val="24"/>
        </w:rPr>
        <w:t>t 2.45 GHz and 0.316</w:t>
      </w:r>
      <w:r w:rsidR="008734F4">
        <w:rPr>
          <w:sz w:val="24"/>
        </w:rPr>
        <w:t xml:space="preserve"> W/kg at 5.8</w:t>
      </w:r>
      <w:r w:rsidR="008734F4" w:rsidRPr="008734F4">
        <w:rPr>
          <w:sz w:val="24"/>
        </w:rPr>
        <w:t xml:space="preserve"> GHz. These values are significantly lower than the maximum safety limit, ensuring the safety of the tissues.</w:t>
      </w:r>
    </w:p>
    <w:p w14:paraId="6EF9D881" w14:textId="77777777" w:rsidR="00CA5E8A" w:rsidRPr="00C66488" w:rsidRDefault="00CA5E8A" w:rsidP="009C0A65">
      <w:pPr>
        <w:pStyle w:val="IEEEParagraph"/>
        <w:ind w:firstLine="170"/>
        <w:rPr>
          <w:sz w:val="24"/>
        </w:rPr>
      </w:pPr>
    </w:p>
    <w:p w14:paraId="0730ED02" w14:textId="77777777" w:rsidR="00B757B4" w:rsidRPr="00C66488" w:rsidRDefault="00B757B4" w:rsidP="00C66488">
      <w:pPr>
        <w:pStyle w:val="IEEEHeading1"/>
        <w:jc w:val="left"/>
        <w:rPr>
          <w:sz w:val="24"/>
        </w:rPr>
      </w:pPr>
      <w:r w:rsidRPr="00C66488">
        <w:rPr>
          <w:sz w:val="24"/>
        </w:rPr>
        <w:t>CONCLUSION</w:t>
      </w:r>
    </w:p>
    <w:p w14:paraId="7C157BFA" w14:textId="7BD505BE" w:rsidR="00DD7794" w:rsidRPr="00DD7794" w:rsidRDefault="008A36DC" w:rsidP="00DD7794">
      <w:pPr>
        <w:pStyle w:val="IEEEParagraph"/>
        <w:ind w:firstLine="170"/>
        <w:rPr>
          <w:sz w:val="24"/>
        </w:rPr>
      </w:pPr>
      <w:r>
        <w:rPr>
          <w:sz w:val="24"/>
        </w:rPr>
        <w:t>T</w:t>
      </w:r>
      <w:r w:rsidRPr="008A36DC">
        <w:rPr>
          <w:sz w:val="24"/>
        </w:rPr>
        <w:t xml:space="preserve">his </w:t>
      </w:r>
      <w:r>
        <w:rPr>
          <w:sz w:val="24"/>
        </w:rPr>
        <w:t xml:space="preserve">study </w:t>
      </w:r>
      <w:r w:rsidRPr="008A36DC">
        <w:rPr>
          <w:sz w:val="24"/>
        </w:rPr>
        <w:t xml:space="preserve">emphasizes the design </w:t>
      </w:r>
      <w:r w:rsidR="009C1E89" w:rsidRPr="009C1E89">
        <w:rPr>
          <w:sz w:val="24"/>
        </w:rPr>
        <w:t xml:space="preserve">and performance evaluation of a dual-band antenna intended for biomedical uses, specifically tuned to the </w:t>
      </w:r>
      <w:r w:rsidR="00083C0A" w:rsidRPr="009C1E89">
        <w:rPr>
          <w:sz w:val="24"/>
        </w:rPr>
        <w:t xml:space="preserve">2.45 GHz and 5.8 GHz </w:t>
      </w:r>
      <w:r w:rsidR="009C1E89" w:rsidRPr="009C1E89">
        <w:rPr>
          <w:sz w:val="24"/>
        </w:rPr>
        <w:t>ISM band frequencies.</w:t>
      </w:r>
      <w:r w:rsidR="009C1E89">
        <w:rPr>
          <w:sz w:val="24"/>
        </w:rPr>
        <w:t xml:space="preserve"> </w:t>
      </w:r>
      <w:r w:rsidR="00DD7794" w:rsidRPr="00DD7794">
        <w:rPr>
          <w:sz w:val="24"/>
        </w:rPr>
        <w:t xml:space="preserve">The antenna, </w:t>
      </w:r>
      <w:r>
        <w:rPr>
          <w:sz w:val="24"/>
        </w:rPr>
        <w:t>prototyped</w:t>
      </w:r>
      <w:r w:rsidR="00DD7794" w:rsidRPr="00DD7794">
        <w:rPr>
          <w:sz w:val="24"/>
        </w:rPr>
        <w:t xml:space="preserve"> using a biodegradable Polylactic Acid (PLA) substrate and 3D printing technology, demonstrated excellent performance for wireless communication in healthcare and other wearable applications. Its small size, dual-band operation, and efficient radiation characteristics make it a promising solution for modern biomedical devices.</w:t>
      </w:r>
      <w:r w:rsidR="00DD7794">
        <w:rPr>
          <w:sz w:val="24"/>
        </w:rPr>
        <w:t xml:space="preserve"> </w:t>
      </w:r>
      <w:r w:rsidRPr="008A36DC">
        <w:rPr>
          <w:sz w:val="24"/>
        </w:rPr>
        <w:t xml:space="preserve">Simulation and experimental results confirm that the antenna </w:t>
      </w:r>
      <w:r w:rsidR="00DD7794" w:rsidRPr="00DD7794">
        <w:rPr>
          <w:sz w:val="24"/>
        </w:rPr>
        <w:t xml:space="preserve">provides good impedance matching, low return loss, and stable performance at the target frequencies. The radiation </w:t>
      </w:r>
      <w:r w:rsidRPr="008A36DC">
        <w:rPr>
          <w:sz w:val="24"/>
        </w:rPr>
        <w:t xml:space="preserve">characteristics </w:t>
      </w:r>
      <w:r w:rsidR="00DD7794" w:rsidRPr="00DD7794">
        <w:rPr>
          <w:sz w:val="24"/>
        </w:rPr>
        <w:t>confirm that the antenna operates efficiently in both the 2.45 GHz and 5.8 GHz bands, with peak gains of 3.5 dBi and 3.92 dBi, respectively.</w:t>
      </w:r>
      <w:r w:rsidR="00DD7794">
        <w:rPr>
          <w:sz w:val="24"/>
        </w:rPr>
        <w:t xml:space="preserve"> </w:t>
      </w:r>
      <w:r w:rsidR="00DD7794" w:rsidRPr="00DD7794">
        <w:rPr>
          <w:sz w:val="24"/>
        </w:rPr>
        <w:t xml:space="preserve">Additionally, </w:t>
      </w:r>
      <w:r w:rsidR="00DD7794">
        <w:rPr>
          <w:sz w:val="24"/>
        </w:rPr>
        <w:t>SAR</w:t>
      </w:r>
      <w:r w:rsidR="00DD7794" w:rsidRPr="00DD7794">
        <w:rPr>
          <w:sz w:val="24"/>
        </w:rPr>
        <w:t xml:space="preserve"> analysis revealed that the antenna operates well within the safety limits for human tissue, ensuring its safe use in wearable devices. The low SAR values at both frequencies indicate minimal risk of harmful heating effects on the human body.</w:t>
      </w:r>
    </w:p>
    <w:p w14:paraId="7B01130E" w14:textId="39B676E7" w:rsidR="00B757B4" w:rsidRDefault="00DD7794" w:rsidP="00DD7794">
      <w:pPr>
        <w:pStyle w:val="IEEEParagraph"/>
        <w:ind w:firstLine="170"/>
        <w:rPr>
          <w:sz w:val="24"/>
        </w:rPr>
      </w:pPr>
      <w:r w:rsidRPr="00DD7794">
        <w:rPr>
          <w:sz w:val="24"/>
        </w:rPr>
        <w:t>In conclusion, the proposed 3D-printed antenna offers a compact, efficient, and environmentally friendly solution for biomedical and wearable applications, providing reliable communication without compromising safety. The use of 3D printing technology and eco-friendly materials like PLA opens new possibilities for designing sustainable antennas in the healthcare and IoT industries.</w:t>
      </w:r>
    </w:p>
    <w:p w14:paraId="7C2C6F1A" w14:textId="77777777" w:rsidR="00CA5E8A" w:rsidRPr="00C66488" w:rsidRDefault="00CA5E8A" w:rsidP="00DD7794">
      <w:pPr>
        <w:pStyle w:val="IEEEParagraph"/>
        <w:ind w:firstLine="170"/>
        <w:rPr>
          <w:sz w:val="24"/>
        </w:rPr>
      </w:pPr>
    </w:p>
    <w:p w14:paraId="404DA910" w14:textId="77777777" w:rsidR="004C090F" w:rsidRDefault="004C090F" w:rsidP="00C66488">
      <w:pPr>
        <w:pStyle w:val="IEEEHeading1"/>
        <w:numPr>
          <w:ilvl w:val="0"/>
          <w:numId w:val="0"/>
        </w:numPr>
        <w:jc w:val="left"/>
        <w:rPr>
          <w:sz w:val="24"/>
        </w:rPr>
      </w:pPr>
      <w:r w:rsidRPr="00C66488">
        <w:rPr>
          <w:sz w:val="24"/>
        </w:rPr>
        <w:t>References</w:t>
      </w:r>
    </w:p>
    <w:p w14:paraId="7E5BB1C3" w14:textId="77777777" w:rsidR="00C66488" w:rsidRPr="00C66488" w:rsidRDefault="00C66488" w:rsidP="00C66488">
      <w:pPr>
        <w:pStyle w:val="IEEEParagraph"/>
        <w:rPr>
          <w:sz w:val="24"/>
        </w:rPr>
      </w:pPr>
    </w:p>
    <w:p w14:paraId="4B07A2E3" w14:textId="77777777" w:rsidR="006912C7" w:rsidRPr="00CA5E8A" w:rsidRDefault="00C676BD" w:rsidP="00CA5E8A">
      <w:pPr>
        <w:pStyle w:val="IEEEReferenceItem"/>
        <w:tabs>
          <w:tab w:val="num" w:pos="432"/>
        </w:tabs>
        <w:ind w:left="432" w:hanging="432"/>
        <w:jc w:val="left"/>
        <w:rPr>
          <w:sz w:val="20"/>
          <w:szCs w:val="20"/>
        </w:rPr>
      </w:pPr>
      <w:r w:rsidRPr="00CA5E8A">
        <w:rPr>
          <w:sz w:val="20"/>
          <w:szCs w:val="20"/>
        </w:rPr>
        <w:fldChar w:fldCharType="begin"/>
      </w:r>
      <w:r w:rsidRPr="00CA5E8A">
        <w:rPr>
          <w:sz w:val="20"/>
          <w:szCs w:val="20"/>
        </w:rPr>
        <w:instrText xml:space="preserve"> ADDIN EN.REFLIST </w:instrText>
      </w:r>
      <w:r w:rsidRPr="00CA5E8A">
        <w:rPr>
          <w:sz w:val="20"/>
          <w:szCs w:val="20"/>
        </w:rPr>
        <w:fldChar w:fldCharType="separate"/>
      </w:r>
      <w:r w:rsidR="006912C7" w:rsidRPr="00CA5E8A">
        <w:rPr>
          <w:noProof/>
          <w:sz w:val="20"/>
          <w:szCs w:val="20"/>
        </w:rPr>
        <w:t>[1]</w:t>
      </w:r>
      <w:r w:rsidR="006912C7" w:rsidRPr="00CA5E8A">
        <w:rPr>
          <w:sz w:val="20"/>
          <w:szCs w:val="20"/>
        </w:rPr>
        <w:tab/>
        <w:t>H. M. A. Fahmy, Wireless sensor networks: concepts, applications, experimentation and analysis. Springer, 2016.</w:t>
      </w:r>
    </w:p>
    <w:p w14:paraId="5A7A50B2" w14:textId="77777777" w:rsidR="006912C7" w:rsidRPr="00CA5E8A" w:rsidRDefault="006912C7" w:rsidP="00CA5E8A">
      <w:pPr>
        <w:pStyle w:val="IEEEReferenceItem"/>
        <w:tabs>
          <w:tab w:val="num" w:pos="432"/>
        </w:tabs>
        <w:ind w:left="432" w:hanging="432"/>
        <w:jc w:val="left"/>
        <w:rPr>
          <w:sz w:val="20"/>
          <w:szCs w:val="20"/>
        </w:rPr>
      </w:pPr>
      <w:r w:rsidRPr="00CA5E8A">
        <w:rPr>
          <w:sz w:val="20"/>
          <w:szCs w:val="20"/>
        </w:rPr>
        <w:t>[2]</w:t>
      </w:r>
      <w:r w:rsidRPr="00CA5E8A">
        <w:rPr>
          <w:sz w:val="20"/>
          <w:szCs w:val="20"/>
        </w:rPr>
        <w:tab/>
        <w:t>M. R. Yuce and J. Khan, Wireless body area networks: technology, implementation, and applications. CRC Press, 2011.</w:t>
      </w:r>
    </w:p>
    <w:p w14:paraId="549B8EBA" w14:textId="77777777" w:rsidR="006912C7" w:rsidRPr="00CA5E8A" w:rsidRDefault="006912C7" w:rsidP="00CA5E8A">
      <w:pPr>
        <w:pStyle w:val="IEEEReferenceItem"/>
        <w:tabs>
          <w:tab w:val="num" w:pos="432"/>
        </w:tabs>
        <w:ind w:left="432" w:hanging="432"/>
        <w:jc w:val="left"/>
        <w:rPr>
          <w:sz w:val="20"/>
          <w:szCs w:val="20"/>
        </w:rPr>
      </w:pPr>
      <w:r w:rsidRPr="00CA5E8A">
        <w:rPr>
          <w:sz w:val="20"/>
          <w:szCs w:val="20"/>
        </w:rPr>
        <w:t>[3]</w:t>
      </w:r>
      <w:r w:rsidRPr="00CA5E8A">
        <w:rPr>
          <w:sz w:val="20"/>
          <w:szCs w:val="20"/>
        </w:rPr>
        <w:tab/>
        <w:t>K. Mondal and P. P. Sarkar, "Dual band compact monopole antenna for ISM 2.4/5.8 frequency bands with bluetooth, Wi‐Fi, and mobile applications," Microwave and Optical Technology Letters, vol. 59, no. 5, pp. 1061-1065, 2017.</w:t>
      </w:r>
    </w:p>
    <w:p w14:paraId="50148628" w14:textId="77777777" w:rsidR="006912C7" w:rsidRPr="00CA5E8A" w:rsidRDefault="006912C7" w:rsidP="00CA5E8A">
      <w:pPr>
        <w:pStyle w:val="IEEEReferenceItem"/>
        <w:tabs>
          <w:tab w:val="num" w:pos="432"/>
        </w:tabs>
        <w:ind w:left="432" w:hanging="432"/>
        <w:jc w:val="left"/>
        <w:rPr>
          <w:sz w:val="20"/>
          <w:szCs w:val="20"/>
        </w:rPr>
      </w:pPr>
      <w:r w:rsidRPr="00CA5E8A">
        <w:rPr>
          <w:sz w:val="20"/>
          <w:szCs w:val="20"/>
        </w:rPr>
        <w:t>[4]</w:t>
      </w:r>
      <w:r w:rsidRPr="00CA5E8A">
        <w:rPr>
          <w:sz w:val="20"/>
          <w:szCs w:val="20"/>
        </w:rPr>
        <w:tab/>
        <w:t>W. M. Abdulkawi, A. F. A. Sheta, I. Elshafiey, and M. A. Alkanhal, "Design of low-profile single-and dual-band antennas for IoT applications," Electronics, vol. 10, no. 22, p. 2766, 2021.</w:t>
      </w:r>
    </w:p>
    <w:p w14:paraId="0DA81113" w14:textId="77777777" w:rsidR="006912C7" w:rsidRPr="00CA5E8A" w:rsidRDefault="006912C7" w:rsidP="00CA5E8A">
      <w:pPr>
        <w:pStyle w:val="IEEEReferenceItem"/>
        <w:tabs>
          <w:tab w:val="num" w:pos="432"/>
        </w:tabs>
        <w:ind w:left="432" w:hanging="432"/>
        <w:jc w:val="left"/>
        <w:rPr>
          <w:sz w:val="20"/>
          <w:szCs w:val="20"/>
        </w:rPr>
      </w:pPr>
      <w:r w:rsidRPr="00CA5E8A">
        <w:rPr>
          <w:sz w:val="20"/>
          <w:szCs w:val="20"/>
        </w:rPr>
        <w:t>[5]</w:t>
      </w:r>
      <w:r w:rsidRPr="00CA5E8A">
        <w:rPr>
          <w:sz w:val="20"/>
          <w:szCs w:val="20"/>
        </w:rPr>
        <w:tab/>
        <w:t>U. Ali, S. Ullah, B. Kamal, L. Matekovits, and A. Altaf, "Design, analysis and applications of wearable antennas: A review," IEEE Access, vol. 11, pp. 14458-14486, 2023.</w:t>
      </w:r>
    </w:p>
    <w:p w14:paraId="2267C508" w14:textId="77777777" w:rsidR="006912C7" w:rsidRPr="00CA5E8A" w:rsidRDefault="006912C7" w:rsidP="00CA5E8A">
      <w:pPr>
        <w:pStyle w:val="IEEEReferenceItem"/>
        <w:tabs>
          <w:tab w:val="num" w:pos="432"/>
        </w:tabs>
        <w:ind w:left="432" w:hanging="432"/>
        <w:jc w:val="left"/>
        <w:rPr>
          <w:sz w:val="20"/>
          <w:szCs w:val="20"/>
        </w:rPr>
      </w:pPr>
      <w:r w:rsidRPr="00CA5E8A">
        <w:rPr>
          <w:sz w:val="20"/>
          <w:szCs w:val="20"/>
        </w:rPr>
        <w:lastRenderedPageBreak/>
        <w:t>[6]</w:t>
      </w:r>
      <w:r w:rsidRPr="00CA5E8A">
        <w:rPr>
          <w:sz w:val="20"/>
          <w:szCs w:val="20"/>
        </w:rPr>
        <w:tab/>
        <w:t>A. Arif, M. Zubair, M. Ali, M. U. Khan, and M. Q. Mehmood, "A compact, low-profile fractal antenna for wearable on-body WBAN applications," IEEE Antennas and Wireless Propagation Letters, vol. 18, no. 5, pp. 981-985, 2019.</w:t>
      </w:r>
    </w:p>
    <w:p w14:paraId="65DE5BC8" w14:textId="77777777" w:rsidR="006912C7" w:rsidRPr="00CA5E8A" w:rsidRDefault="006912C7" w:rsidP="00CA5E8A">
      <w:pPr>
        <w:pStyle w:val="IEEEReferenceItem"/>
        <w:tabs>
          <w:tab w:val="num" w:pos="432"/>
        </w:tabs>
        <w:ind w:left="432" w:hanging="432"/>
        <w:jc w:val="left"/>
        <w:rPr>
          <w:sz w:val="20"/>
          <w:szCs w:val="20"/>
        </w:rPr>
      </w:pPr>
      <w:r w:rsidRPr="00CA5E8A">
        <w:rPr>
          <w:sz w:val="20"/>
          <w:szCs w:val="20"/>
        </w:rPr>
        <w:t>[7]</w:t>
      </w:r>
      <w:r w:rsidRPr="00CA5E8A">
        <w:rPr>
          <w:sz w:val="20"/>
          <w:szCs w:val="20"/>
        </w:rPr>
        <w:tab/>
        <w:t>T. Fougeroux, A. Douyère, N. M. Murad, J. Sibille, S. Oree, and J.-L. Dubard, "Performance enhancement of low-cost microstrip patch antennas through 3D-printed conductive geometric forms," AEU-International Journal of Electronics and Communications, vol. 177, p. 155211, 2024.</w:t>
      </w:r>
    </w:p>
    <w:p w14:paraId="1E2348BE" w14:textId="77777777" w:rsidR="006912C7" w:rsidRPr="00CA5E8A" w:rsidRDefault="006912C7" w:rsidP="00CA5E8A">
      <w:pPr>
        <w:pStyle w:val="IEEEReferenceItem"/>
        <w:tabs>
          <w:tab w:val="num" w:pos="432"/>
        </w:tabs>
        <w:ind w:left="432" w:hanging="432"/>
        <w:jc w:val="left"/>
        <w:rPr>
          <w:sz w:val="20"/>
          <w:szCs w:val="20"/>
        </w:rPr>
      </w:pPr>
      <w:r w:rsidRPr="00CA5E8A">
        <w:rPr>
          <w:sz w:val="20"/>
          <w:szCs w:val="20"/>
        </w:rPr>
        <w:t>[8]</w:t>
      </w:r>
      <w:r w:rsidRPr="00CA5E8A">
        <w:rPr>
          <w:sz w:val="20"/>
          <w:szCs w:val="20"/>
        </w:rPr>
        <w:tab/>
        <w:t>A. K. Jha, P. D. Swami, and H. Jeevakhan, "Additive manufacturing substrate for patch antenna using variable infill Poly Lactic acid," AEU-International Journal of Electronics and Communications, vol. 165, p. 154661, 2023.</w:t>
      </w:r>
    </w:p>
    <w:p w14:paraId="058F2C1F" w14:textId="77777777" w:rsidR="006912C7" w:rsidRPr="00CA5E8A" w:rsidRDefault="006912C7" w:rsidP="00CA5E8A">
      <w:pPr>
        <w:pStyle w:val="IEEEReferenceItem"/>
        <w:tabs>
          <w:tab w:val="num" w:pos="432"/>
        </w:tabs>
        <w:ind w:left="432" w:hanging="432"/>
        <w:jc w:val="left"/>
        <w:rPr>
          <w:sz w:val="20"/>
          <w:szCs w:val="20"/>
        </w:rPr>
      </w:pPr>
      <w:r w:rsidRPr="00CA5E8A">
        <w:rPr>
          <w:sz w:val="20"/>
          <w:szCs w:val="20"/>
        </w:rPr>
        <w:t>[9]</w:t>
      </w:r>
      <w:r w:rsidRPr="00CA5E8A">
        <w:rPr>
          <w:sz w:val="20"/>
          <w:szCs w:val="20"/>
        </w:rPr>
        <w:tab/>
        <w:t>C. A. Balanis, Antenna theory: analysis and design. John wiley &amp; sons, 2015.</w:t>
      </w:r>
    </w:p>
    <w:p w14:paraId="3E3F45D5" w14:textId="77777777" w:rsidR="006912C7" w:rsidRPr="00CA5E8A" w:rsidRDefault="006912C7" w:rsidP="00CA5E8A">
      <w:pPr>
        <w:pStyle w:val="IEEEReferenceItem"/>
        <w:tabs>
          <w:tab w:val="num" w:pos="432"/>
        </w:tabs>
        <w:ind w:left="432" w:hanging="432"/>
        <w:jc w:val="left"/>
        <w:rPr>
          <w:sz w:val="20"/>
          <w:szCs w:val="20"/>
        </w:rPr>
      </w:pPr>
      <w:r w:rsidRPr="00CA5E8A">
        <w:rPr>
          <w:sz w:val="20"/>
          <w:szCs w:val="20"/>
        </w:rPr>
        <w:t>[10]</w:t>
      </w:r>
      <w:r w:rsidRPr="00CA5E8A">
        <w:rPr>
          <w:sz w:val="20"/>
          <w:szCs w:val="20"/>
        </w:rPr>
        <w:tab/>
        <w:t>S. Ahmad, A. Ghaffar, N. Hussain, and N. Kim, "Compact dual-band antenna with paired L-shape slots for on-and off-body wireless communication," Sensors, vol. 21, no. 23, p. 7953, 2021.</w:t>
      </w:r>
    </w:p>
    <w:p w14:paraId="53603F9A" w14:textId="77777777" w:rsidR="006912C7" w:rsidRPr="00CA5E8A" w:rsidRDefault="006912C7" w:rsidP="00CA5E8A">
      <w:pPr>
        <w:pStyle w:val="IEEEReferenceItem"/>
        <w:tabs>
          <w:tab w:val="num" w:pos="432"/>
        </w:tabs>
        <w:ind w:left="432" w:hanging="432"/>
        <w:jc w:val="left"/>
        <w:rPr>
          <w:sz w:val="20"/>
          <w:szCs w:val="20"/>
        </w:rPr>
      </w:pPr>
      <w:r w:rsidRPr="00CA5E8A">
        <w:rPr>
          <w:sz w:val="20"/>
          <w:szCs w:val="20"/>
        </w:rPr>
        <w:t>[11]</w:t>
      </w:r>
      <w:r w:rsidRPr="00CA5E8A">
        <w:rPr>
          <w:sz w:val="20"/>
          <w:szCs w:val="20"/>
        </w:rPr>
        <w:tab/>
        <w:t>I. C. 1-, "IEEE standard for safety levels with respect to human exposure to electric, magnetic, and electromagnetic fields, 0 Hz to 300 GHz," IEEE Std C95. 1-2019 (Revision of IEEE Std C95. 1-2005/Incorporates IEEE Std C95. 1-2019/Cor 1-2019), pp. 1-312, 2019.</w:t>
      </w:r>
    </w:p>
    <w:p w14:paraId="54A8279A" w14:textId="77777777" w:rsidR="006912C7" w:rsidRPr="00CA5E8A" w:rsidRDefault="006912C7" w:rsidP="00CA5E8A">
      <w:pPr>
        <w:pStyle w:val="IEEEReferenceItem"/>
        <w:tabs>
          <w:tab w:val="num" w:pos="432"/>
        </w:tabs>
        <w:ind w:left="432" w:hanging="432"/>
        <w:jc w:val="left"/>
        <w:rPr>
          <w:sz w:val="20"/>
          <w:szCs w:val="20"/>
        </w:rPr>
      </w:pPr>
      <w:r w:rsidRPr="00CA5E8A">
        <w:rPr>
          <w:sz w:val="20"/>
          <w:szCs w:val="20"/>
        </w:rPr>
        <w:t>[12]</w:t>
      </w:r>
      <w:r w:rsidRPr="00CA5E8A">
        <w:rPr>
          <w:sz w:val="20"/>
          <w:szCs w:val="20"/>
        </w:rPr>
        <w:tab/>
        <w:t>I. C. o. N.-I. R. Protection, "Guidelines for limiting exposure to electromagnetic fields (100 kHz to 300 GHz)," Health physics, vol. 118, no. 5, pp. 483-524, 2020.</w:t>
      </w:r>
    </w:p>
    <w:p w14:paraId="75890D58" w14:textId="2E74DF52" w:rsidR="007F7949" w:rsidRDefault="00C676BD" w:rsidP="00CA5E8A">
      <w:pPr>
        <w:pStyle w:val="IEEEReferenceItem"/>
        <w:jc w:val="left"/>
      </w:pPr>
      <w:r w:rsidRPr="00CA5E8A">
        <w:rPr>
          <w:sz w:val="20"/>
          <w:szCs w:val="20"/>
        </w:rPr>
        <w:fldChar w:fldCharType="end"/>
      </w:r>
    </w:p>
    <w:sectPr w:rsidR="007F7949" w:rsidSect="00183955">
      <w:type w:val="continuous"/>
      <w:pgSz w:w="11907" w:h="16840" w:code="9"/>
      <w:pgMar w:top="1373" w:right="851" w:bottom="851" w:left="851" w:header="709" w:footer="709"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225F17" w14:textId="77777777" w:rsidR="00FE7644" w:rsidRDefault="00FE7644" w:rsidP="00B80B2C">
      <w:pPr>
        <w:spacing w:after="0" w:line="240" w:lineRule="auto"/>
      </w:pPr>
      <w:r>
        <w:separator/>
      </w:r>
    </w:p>
  </w:endnote>
  <w:endnote w:type="continuationSeparator" w:id="0">
    <w:p w14:paraId="77263F5B" w14:textId="77777777" w:rsidR="00FE7644" w:rsidRDefault="00FE7644" w:rsidP="00B80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6691731"/>
      <w:docPartObj>
        <w:docPartGallery w:val="Page Numbers (Bottom of Page)"/>
        <w:docPartUnique/>
      </w:docPartObj>
    </w:sdtPr>
    <w:sdtContent>
      <w:p w14:paraId="69B37279" w14:textId="784A91F7" w:rsidR="00817984" w:rsidRDefault="00817984">
        <w:pPr>
          <w:pStyle w:val="AltBilgi"/>
          <w:jc w:val="center"/>
        </w:pPr>
        <w:r>
          <w:fldChar w:fldCharType="begin"/>
        </w:r>
        <w:r>
          <w:instrText>PAGE   \* MERGEFORMAT</w:instrText>
        </w:r>
        <w:r>
          <w:fldChar w:fldCharType="separate"/>
        </w:r>
        <w:r w:rsidR="00791027">
          <w:rPr>
            <w:noProof/>
          </w:rPr>
          <w:t>7</w:t>
        </w:r>
        <w:r>
          <w:fldChar w:fldCharType="end"/>
        </w:r>
      </w:p>
    </w:sdtContent>
  </w:sdt>
  <w:p w14:paraId="243B82DF" w14:textId="77777777" w:rsidR="008250C1" w:rsidRDefault="008250C1">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58259964"/>
      <w:docPartObj>
        <w:docPartGallery w:val="Page Numbers (Bottom of Page)"/>
        <w:docPartUnique/>
      </w:docPartObj>
    </w:sdtPr>
    <w:sdtContent>
      <w:p w14:paraId="7B10F7F6" w14:textId="42D32F77" w:rsidR="00CA5E8A" w:rsidRDefault="00CA5E8A">
        <w:pPr>
          <w:pStyle w:val="AltBilgi"/>
          <w:jc w:val="center"/>
        </w:pPr>
        <w:r>
          <w:fldChar w:fldCharType="begin"/>
        </w:r>
        <w:r>
          <w:instrText>PAGE   \* MERGEFORMAT</w:instrText>
        </w:r>
        <w:r>
          <w:fldChar w:fldCharType="separate"/>
        </w:r>
        <w:r>
          <w:t>2</w:t>
        </w:r>
        <w:r>
          <w:fldChar w:fldCharType="end"/>
        </w:r>
      </w:p>
    </w:sdtContent>
  </w:sdt>
  <w:p w14:paraId="2C3096D4" w14:textId="77777777" w:rsidR="00E71235" w:rsidRDefault="00E71235" w:rsidP="00E71235">
    <w:pPr>
      <w:pStyle w:val="AltBilgi"/>
      <w:pBdr>
        <w:top w:val="single" w:sz="4"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4ECF38" w14:textId="77777777" w:rsidR="00FE7644" w:rsidRDefault="00FE7644" w:rsidP="00B80B2C">
      <w:pPr>
        <w:spacing w:after="0" w:line="240" w:lineRule="auto"/>
      </w:pPr>
      <w:r>
        <w:separator/>
      </w:r>
    </w:p>
  </w:footnote>
  <w:footnote w:type="continuationSeparator" w:id="0">
    <w:p w14:paraId="7EE39C09" w14:textId="77777777" w:rsidR="00FE7644" w:rsidRDefault="00FE7644" w:rsidP="00B80B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6E9E5A" w14:textId="5C1FF349" w:rsidR="00CA5E8A" w:rsidRPr="00CA5E8A" w:rsidRDefault="00CA5E8A" w:rsidP="00CA5E8A">
    <w:pPr>
      <w:widowControl w:val="0"/>
      <w:pBdr>
        <w:bottom w:val="single" w:sz="4" w:space="1" w:color="auto"/>
      </w:pBdr>
      <w:tabs>
        <w:tab w:val="center" w:pos="4703"/>
        <w:tab w:val="right" w:pos="9406"/>
      </w:tabs>
      <w:autoSpaceDE w:val="0"/>
      <w:autoSpaceDN w:val="0"/>
      <w:jc w:val="center"/>
      <w:rPr>
        <w:rFonts w:ascii="Times New Roman" w:hAnsi="Times New Roman" w:cs="Times New Roman"/>
        <w:lang w:bidi="tr-TR"/>
      </w:rPr>
    </w:pPr>
    <w:r w:rsidRPr="00CA5E8A">
      <w:rPr>
        <w:rFonts w:ascii="Times New Roman" w:hAnsi="Times New Roman" w:cs="Times New Roman"/>
        <w:i/>
        <w:sz w:val="18"/>
        <w:lang w:bidi="tr-TR"/>
      </w:rPr>
      <w:t>International Journal of Advanced Natural Sciences and Engineering Researches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bottom w:val="single" w:sz="4" w:space="0" w:color="auto"/>
      </w:tblBorders>
      <w:tblLook w:val="04A0" w:firstRow="1" w:lastRow="0" w:firstColumn="1" w:lastColumn="0" w:noHBand="0" w:noVBand="1"/>
    </w:tblPr>
    <w:tblGrid>
      <w:gridCol w:w="2977"/>
      <w:gridCol w:w="3794"/>
      <w:gridCol w:w="3434"/>
    </w:tblGrid>
    <w:tr w:rsidR="00CA5E8A" w:rsidRPr="00CA5E8A" w14:paraId="654F92E1" w14:textId="77777777" w:rsidTr="00EA493A">
      <w:trPr>
        <w:trHeight w:val="1843"/>
      </w:trPr>
      <w:tc>
        <w:tcPr>
          <w:tcW w:w="2977" w:type="dxa"/>
          <w:shd w:val="clear" w:color="auto" w:fill="auto"/>
        </w:tcPr>
        <w:p w14:paraId="0820A91A" w14:textId="77777777" w:rsidR="00CA5E8A" w:rsidRPr="00CA5E8A" w:rsidRDefault="00CA5E8A" w:rsidP="00CA5E8A">
          <w:pPr>
            <w:widowControl w:val="0"/>
            <w:tabs>
              <w:tab w:val="center" w:pos="4703"/>
              <w:tab w:val="right" w:pos="9406"/>
            </w:tabs>
            <w:autoSpaceDE w:val="0"/>
            <w:autoSpaceDN w:val="0"/>
            <w:spacing w:after="0" w:line="240" w:lineRule="auto"/>
            <w:rPr>
              <w:rFonts w:ascii="Times New Roman" w:eastAsia="Calibri" w:hAnsi="Times New Roman" w:cs="Arial"/>
              <w:i/>
              <w:lang w:eastAsia="tr-TR" w:bidi="tr-TR"/>
            </w:rPr>
          </w:pPr>
          <w:r w:rsidRPr="00CA5E8A">
            <w:rPr>
              <w:rFonts w:ascii="Times New Roman" w:eastAsia="Calibri" w:hAnsi="Times New Roman" w:cs="Arial"/>
              <w:i/>
              <w:lang w:eastAsia="tr-TR" w:bidi="tr-TR"/>
            </w:rPr>
            <w:t>Uluslararası İleri Doğa Bilimleri ve Mühendislik Araştırmaları Dergisi</w:t>
          </w:r>
        </w:p>
        <w:p w14:paraId="68040E67" w14:textId="6FE14ABE" w:rsidR="00CA5E8A" w:rsidRPr="00CA5E8A" w:rsidRDefault="00CA5E8A" w:rsidP="00CA5E8A">
          <w:pPr>
            <w:widowControl w:val="0"/>
            <w:tabs>
              <w:tab w:val="center" w:pos="4703"/>
              <w:tab w:val="right" w:pos="9406"/>
            </w:tabs>
            <w:autoSpaceDE w:val="0"/>
            <w:autoSpaceDN w:val="0"/>
            <w:spacing w:after="0" w:line="240" w:lineRule="auto"/>
            <w:rPr>
              <w:rFonts w:ascii="Times New Roman" w:eastAsia="Calibri" w:hAnsi="Times New Roman" w:cs="Arial"/>
              <w:i/>
              <w:lang w:eastAsia="tr-TR" w:bidi="tr-TR"/>
            </w:rPr>
          </w:pPr>
          <w:r w:rsidRPr="00CA5E8A">
            <w:rPr>
              <w:rFonts w:ascii="Times New Roman" w:eastAsia="Calibri" w:hAnsi="Times New Roman" w:cs="Arial"/>
              <w:i/>
              <w:lang w:eastAsia="tr-TR" w:bidi="tr-TR"/>
            </w:rPr>
            <w:t>Sayı 8, S. 4</w:t>
          </w:r>
          <w:r>
            <w:rPr>
              <w:rFonts w:ascii="Times New Roman" w:eastAsia="Calibri" w:hAnsi="Times New Roman" w:cs="Arial"/>
              <w:i/>
              <w:lang w:eastAsia="tr-TR" w:bidi="tr-TR"/>
            </w:rPr>
            <w:t>65</w:t>
          </w:r>
          <w:r w:rsidRPr="00CA5E8A">
            <w:rPr>
              <w:rFonts w:ascii="Times New Roman" w:eastAsia="Calibri" w:hAnsi="Times New Roman" w:cs="Arial"/>
              <w:i/>
              <w:lang w:eastAsia="tr-TR" w:bidi="tr-TR"/>
            </w:rPr>
            <w:t>-4</w:t>
          </w:r>
          <w:r>
            <w:rPr>
              <w:rFonts w:ascii="Times New Roman" w:eastAsia="Calibri" w:hAnsi="Times New Roman" w:cs="Arial"/>
              <w:i/>
              <w:lang w:eastAsia="tr-TR" w:bidi="tr-TR"/>
            </w:rPr>
            <w:t>72</w:t>
          </w:r>
          <w:r w:rsidRPr="00CA5E8A">
            <w:rPr>
              <w:rFonts w:ascii="Times New Roman" w:eastAsia="Calibri" w:hAnsi="Times New Roman" w:cs="Arial"/>
              <w:i/>
              <w:lang w:eastAsia="tr-TR" w:bidi="tr-TR"/>
            </w:rPr>
            <w:t>, 11, 2024</w:t>
          </w:r>
        </w:p>
        <w:p w14:paraId="7EA97BF3" w14:textId="77777777" w:rsidR="00CA5E8A" w:rsidRPr="00CA5E8A" w:rsidRDefault="00CA5E8A" w:rsidP="00CA5E8A">
          <w:pPr>
            <w:widowControl w:val="0"/>
            <w:tabs>
              <w:tab w:val="center" w:pos="4703"/>
              <w:tab w:val="right" w:pos="9406"/>
            </w:tabs>
            <w:autoSpaceDE w:val="0"/>
            <w:autoSpaceDN w:val="0"/>
            <w:spacing w:after="0" w:line="240" w:lineRule="auto"/>
            <w:rPr>
              <w:rFonts w:ascii="Times New Roman" w:eastAsia="Calibri" w:hAnsi="Times New Roman" w:cs="Arial"/>
              <w:i/>
              <w:lang w:eastAsia="tr-TR" w:bidi="tr-TR"/>
            </w:rPr>
          </w:pPr>
          <w:r w:rsidRPr="00CA5E8A">
            <w:rPr>
              <w:rFonts w:ascii="Times New Roman" w:eastAsia="Calibri" w:hAnsi="Times New Roman" w:cs="Arial"/>
              <w:i/>
              <w:lang w:eastAsia="tr-TR" w:bidi="tr-TR"/>
            </w:rPr>
            <w:t xml:space="preserve">© Telif hakkı IJANSER’e aittir </w:t>
          </w:r>
        </w:p>
        <w:p w14:paraId="4705271E" w14:textId="77777777" w:rsidR="00CA5E8A" w:rsidRPr="00CA5E8A" w:rsidRDefault="00CA5E8A" w:rsidP="00CA5E8A">
          <w:pPr>
            <w:widowControl w:val="0"/>
            <w:tabs>
              <w:tab w:val="center" w:pos="4703"/>
              <w:tab w:val="right" w:pos="9406"/>
            </w:tabs>
            <w:autoSpaceDE w:val="0"/>
            <w:autoSpaceDN w:val="0"/>
            <w:spacing w:after="0" w:line="240" w:lineRule="auto"/>
            <w:rPr>
              <w:rFonts w:ascii="Times New Roman" w:eastAsia="Calibri" w:hAnsi="Times New Roman" w:cs="Arial"/>
              <w:i/>
              <w:lang w:eastAsia="tr-TR" w:bidi="tr-TR"/>
            </w:rPr>
          </w:pPr>
          <w:r w:rsidRPr="00CA5E8A">
            <w:rPr>
              <w:rFonts w:ascii="Times New Roman" w:eastAsia="Calibri" w:hAnsi="Times New Roman" w:cs="Arial"/>
              <w:b/>
              <w:i/>
              <w:sz w:val="28"/>
              <w:u w:val="single"/>
              <w:lang w:eastAsia="tr-TR" w:bidi="tr-TR"/>
            </w:rPr>
            <w:t>Araştırma Makalesi</w:t>
          </w:r>
        </w:p>
        <w:p w14:paraId="2BBA7DE5" w14:textId="77777777" w:rsidR="00CA5E8A" w:rsidRPr="00CA5E8A" w:rsidRDefault="00CA5E8A" w:rsidP="00CA5E8A">
          <w:pPr>
            <w:widowControl w:val="0"/>
            <w:tabs>
              <w:tab w:val="center" w:pos="4703"/>
              <w:tab w:val="right" w:pos="9406"/>
            </w:tabs>
            <w:autoSpaceDE w:val="0"/>
            <w:autoSpaceDN w:val="0"/>
            <w:spacing w:after="0" w:line="240" w:lineRule="auto"/>
            <w:jc w:val="both"/>
            <w:rPr>
              <w:rFonts w:ascii="Times New Roman" w:eastAsia="Calibri" w:hAnsi="Times New Roman" w:cs="Arial"/>
              <w:i/>
              <w:lang w:eastAsia="tr-TR" w:bidi="tr-TR"/>
            </w:rPr>
          </w:pPr>
        </w:p>
      </w:tc>
      <w:tc>
        <w:tcPr>
          <w:tcW w:w="3794" w:type="dxa"/>
          <w:shd w:val="clear" w:color="auto" w:fill="auto"/>
        </w:tcPr>
        <w:p w14:paraId="2C7C856C" w14:textId="1AE57EEC" w:rsidR="00CA5E8A" w:rsidRPr="00CA5E8A" w:rsidRDefault="00CA5E8A" w:rsidP="00CA5E8A">
          <w:pPr>
            <w:widowControl w:val="0"/>
            <w:tabs>
              <w:tab w:val="center" w:pos="4703"/>
              <w:tab w:val="right" w:pos="9406"/>
            </w:tabs>
            <w:autoSpaceDE w:val="0"/>
            <w:autoSpaceDN w:val="0"/>
            <w:spacing w:after="0" w:line="240" w:lineRule="auto"/>
            <w:jc w:val="center"/>
            <w:rPr>
              <w:rFonts w:ascii="Times New Roman" w:eastAsia="Calibri" w:hAnsi="Times New Roman" w:cs="Arial"/>
              <w:i/>
              <w:lang w:eastAsia="tr-TR" w:bidi="tr-TR"/>
            </w:rPr>
          </w:pPr>
          <w:r w:rsidRPr="00CA5E8A">
            <w:rPr>
              <w:rFonts w:ascii="Times New Roman" w:eastAsia="Calibri" w:hAnsi="Times New Roman" w:cs="Arial"/>
              <w:i/>
              <w:noProof/>
              <w:lang w:eastAsia="tr-TR" w:bidi="tr-TR"/>
            </w:rPr>
            <w:drawing>
              <wp:inline distT="0" distB="0" distL="0" distR="0" wp14:anchorId="7776156B" wp14:editId="7A1BE322">
                <wp:extent cx="1132840" cy="934720"/>
                <wp:effectExtent l="0" t="0" r="0" b="0"/>
                <wp:docPr id="1089431296" name="Resim 2" descr="C:\Users\LENOVO\Desktop\dergi\IJANSER\logo.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LENOVO\Desktop\dergi\IJANSER\logo.jf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2840" cy="934720"/>
                        </a:xfrm>
                        <a:prstGeom prst="rect">
                          <a:avLst/>
                        </a:prstGeom>
                        <a:noFill/>
                        <a:ln>
                          <a:noFill/>
                        </a:ln>
                      </pic:spPr>
                    </pic:pic>
                  </a:graphicData>
                </a:graphic>
              </wp:inline>
            </w:drawing>
          </w:r>
        </w:p>
        <w:p w14:paraId="401741CC" w14:textId="77777777" w:rsidR="00CA5E8A" w:rsidRPr="00CA5E8A" w:rsidRDefault="00CA5E8A" w:rsidP="00CA5E8A">
          <w:pPr>
            <w:widowControl w:val="0"/>
            <w:tabs>
              <w:tab w:val="center" w:pos="4703"/>
              <w:tab w:val="right" w:pos="9406"/>
            </w:tabs>
            <w:autoSpaceDE w:val="0"/>
            <w:autoSpaceDN w:val="0"/>
            <w:spacing w:after="0" w:line="240" w:lineRule="auto"/>
            <w:jc w:val="center"/>
            <w:rPr>
              <w:rFonts w:ascii="Times New Roman" w:eastAsia="Calibri" w:hAnsi="Times New Roman" w:cs="Arial"/>
              <w:i/>
              <w:sz w:val="20"/>
              <w:lang w:eastAsia="tr-TR" w:bidi="tr-TR"/>
            </w:rPr>
          </w:pPr>
          <w:hyperlink r:id="rId2" w:history="1">
            <w:r w:rsidRPr="00CA5E8A">
              <w:rPr>
                <w:rFonts w:ascii="Times New Roman" w:eastAsia="Calibri" w:hAnsi="Times New Roman" w:cs="Arial"/>
                <w:color w:val="0000FF"/>
                <w:sz w:val="20"/>
                <w:u w:val="single"/>
                <w:lang w:eastAsia="tr-TR" w:bidi="tr-TR"/>
              </w:rPr>
              <w:t>https://as-proceeding.com/index.php/ijanser</w:t>
            </w:r>
          </w:hyperlink>
        </w:p>
        <w:p w14:paraId="5744067A" w14:textId="77777777" w:rsidR="00CA5E8A" w:rsidRPr="00CA5E8A" w:rsidRDefault="00CA5E8A" w:rsidP="00CA5E8A">
          <w:pPr>
            <w:widowControl w:val="0"/>
            <w:tabs>
              <w:tab w:val="left" w:pos="1128"/>
            </w:tabs>
            <w:autoSpaceDE w:val="0"/>
            <w:autoSpaceDN w:val="0"/>
            <w:spacing w:after="0" w:line="240" w:lineRule="auto"/>
            <w:rPr>
              <w:rFonts w:ascii="Times New Roman" w:eastAsia="Calibri" w:hAnsi="Times New Roman" w:cs="Arial"/>
              <w:lang w:eastAsia="tr-TR" w:bidi="tr-TR"/>
            </w:rPr>
          </w:pPr>
          <w:r w:rsidRPr="00CA5E8A">
            <w:rPr>
              <w:rFonts w:ascii="Times New Roman" w:eastAsia="Calibri" w:hAnsi="Times New Roman" w:cs="Arial"/>
              <w:lang w:eastAsia="tr-TR" w:bidi="tr-TR"/>
            </w:rPr>
            <w:tab/>
            <w:t>ISSN:2980-0811</w:t>
          </w:r>
        </w:p>
      </w:tc>
      <w:tc>
        <w:tcPr>
          <w:tcW w:w="3434" w:type="dxa"/>
          <w:shd w:val="clear" w:color="auto" w:fill="auto"/>
        </w:tcPr>
        <w:p w14:paraId="67B94837" w14:textId="77777777" w:rsidR="00CA5E8A" w:rsidRPr="00CA5E8A" w:rsidRDefault="00CA5E8A" w:rsidP="00CA5E8A">
          <w:pPr>
            <w:widowControl w:val="0"/>
            <w:tabs>
              <w:tab w:val="center" w:pos="4703"/>
              <w:tab w:val="right" w:pos="9406"/>
            </w:tabs>
            <w:autoSpaceDE w:val="0"/>
            <w:autoSpaceDN w:val="0"/>
            <w:spacing w:after="0" w:line="240" w:lineRule="auto"/>
            <w:jc w:val="right"/>
            <w:rPr>
              <w:rFonts w:ascii="Times New Roman" w:eastAsia="Calibri" w:hAnsi="Times New Roman" w:cs="Arial"/>
              <w:i/>
              <w:lang w:eastAsia="tr-TR" w:bidi="tr-TR"/>
            </w:rPr>
          </w:pPr>
          <w:r w:rsidRPr="00CA5E8A">
            <w:rPr>
              <w:rFonts w:ascii="Times New Roman" w:eastAsia="Calibri" w:hAnsi="Times New Roman" w:cs="Arial"/>
              <w:i/>
              <w:lang w:eastAsia="tr-TR" w:bidi="tr-TR"/>
            </w:rPr>
            <w:t> International Journal of Advanced Natural Sciences and Engineering Researches</w:t>
          </w:r>
        </w:p>
        <w:p w14:paraId="4A145446" w14:textId="1ABE7654" w:rsidR="00CA5E8A" w:rsidRPr="00CA5E8A" w:rsidRDefault="00CA5E8A" w:rsidP="00CA5E8A">
          <w:pPr>
            <w:widowControl w:val="0"/>
            <w:tabs>
              <w:tab w:val="center" w:pos="4703"/>
              <w:tab w:val="right" w:pos="9406"/>
            </w:tabs>
            <w:autoSpaceDE w:val="0"/>
            <w:autoSpaceDN w:val="0"/>
            <w:spacing w:after="0" w:line="240" w:lineRule="auto"/>
            <w:jc w:val="right"/>
            <w:rPr>
              <w:rFonts w:ascii="Times New Roman" w:eastAsia="Calibri" w:hAnsi="Times New Roman" w:cs="Arial"/>
              <w:i/>
              <w:lang w:eastAsia="tr-TR" w:bidi="tr-TR"/>
            </w:rPr>
          </w:pPr>
          <w:r w:rsidRPr="00CA5E8A">
            <w:rPr>
              <w:rFonts w:ascii="Times New Roman" w:eastAsia="Calibri" w:hAnsi="Times New Roman" w:cs="Arial"/>
              <w:i/>
              <w:lang w:eastAsia="tr-TR" w:bidi="tr-TR"/>
            </w:rPr>
            <w:t>Volume 8, pp. 4</w:t>
          </w:r>
          <w:r>
            <w:rPr>
              <w:rFonts w:ascii="Times New Roman" w:eastAsia="Calibri" w:hAnsi="Times New Roman" w:cs="Arial"/>
              <w:i/>
              <w:lang w:eastAsia="tr-TR" w:bidi="tr-TR"/>
            </w:rPr>
            <w:t>65</w:t>
          </w:r>
          <w:r w:rsidRPr="00CA5E8A">
            <w:rPr>
              <w:rFonts w:ascii="Times New Roman" w:eastAsia="Calibri" w:hAnsi="Times New Roman" w:cs="Arial"/>
              <w:i/>
              <w:lang w:eastAsia="tr-TR" w:bidi="tr-TR"/>
            </w:rPr>
            <w:t>-4</w:t>
          </w:r>
          <w:r>
            <w:rPr>
              <w:rFonts w:ascii="Times New Roman" w:eastAsia="Calibri" w:hAnsi="Times New Roman" w:cs="Arial"/>
              <w:i/>
              <w:lang w:eastAsia="tr-TR" w:bidi="tr-TR"/>
            </w:rPr>
            <w:t>72</w:t>
          </w:r>
          <w:r w:rsidRPr="00CA5E8A">
            <w:rPr>
              <w:rFonts w:ascii="Times New Roman" w:eastAsia="Calibri" w:hAnsi="Times New Roman" w:cs="Arial"/>
              <w:i/>
              <w:lang w:eastAsia="tr-TR" w:bidi="tr-TR"/>
            </w:rPr>
            <w:t>, 11, 2024</w:t>
          </w:r>
        </w:p>
        <w:p w14:paraId="08F1E9A9" w14:textId="77777777" w:rsidR="00CA5E8A" w:rsidRPr="00CA5E8A" w:rsidRDefault="00CA5E8A" w:rsidP="00CA5E8A">
          <w:pPr>
            <w:widowControl w:val="0"/>
            <w:tabs>
              <w:tab w:val="center" w:pos="4703"/>
              <w:tab w:val="right" w:pos="9406"/>
            </w:tabs>
            <w:autoSpaceDE w:val="0"/>
            <w:autoSpaceDN w:val="0"/>
            <w:spacing w:after="0" w:line="240" w:lineRule="auto"/>
            <w:jc w:val="right"/>
            <w:rPr>
              <w:rFonts w:ascii="Times New Roman" w:eastAsia="Calibri" w:hAnsi="Times New Roman" w:cs="Arial"/>
              <w:i/>
              <w:lang w:eastAsia="tr-TR" w:bidi="tr-TR"/>
            </w:rPr>
          </w:pPr>
          <w:r w:rsidRPr="00CA5E8A">
            <w:rPr>
              <w:rFonts w:ascii="Times New Roman" w:eastAsia="Calibri" w:hAnsi="Times New Roman" w:cs="Arial"/>
              <w:i/>
              <w:lang w:eastAsia="tr-TR" w:bidi="tr-TR"/>
            </w:rPr>
            <w:t>Copyright © 2024 IJANSER</w:t>
          </w:r>
        </w:p>
        <w:p w14:paraId="439D9EE8" w14:textId="77777777" w:rsidR="00CA5E8A" w:rsidRPr="00CA5E8A" w:rsidRDefault="00CA5E8A" w:rsidP="00CA5E8A">
          <w:pPr>
            <w:widowControl w:val="0"/>
            <w:tabs>
              <w:tab w:val="center" w:pos="4703"/>
              <w:tab w:val="right" w:pos="9406"/>
            </w:tabs>
            <w:autoSpaceDE w:val="0"/>
            <w:autoSpaceDN w:val="0"/>
            <w:spacing w:after="0" w:line="240" w:lineRule="auto"/>
            <w:jc w:val="right"/>
            <w:rPr>
              <w:rFonts w:ascii="Times New Roman" w:eastAsia="Calibri" w:hAnsi="Times New Roman" w:cs="Arial"/>
              <w:i/>
              <w:lang w:eastAsia="tr-TR" w:bidi="tr-TR"/>
            </w:rPr>
          </w:pPr>
          <w:r w:rsidRPr="00CA5E8A">
            <w:rPr>
              <w:rFonts w:ascii="Times New Roman" w:eastAsia="Calibri" w:hAnsi="Times New Roman" w:cs="Arial"/>
              <w:b/>
              <w:i/>
              <w:sz w:val="28"/>
              <w:u w:val="single"/>
              <w:lang w:eastAsia="tr-TR" w:bidi="tr-TR"/>
            </w:rPr>
            <w:t>Research Article</w:t>
          </w:r>
        </w:p>
        <w:p w14:paraId="10E6120F" w14:textId="77777777" w:rsidR="00CA5E8A" w:rsidRPr="00CA5E8A" w:rsidRDefault="00CA5E8A" w:rsidP="00CA5E8A">
          <w:pPr>
            <w:widowControl w:val="0"/>
            <w:tabs>
              <w:tab w:val="center" w:pos="4703"/>
              <w:tab w:val="right" w:pos="9406"/>
            </w:tabs>
            <w:autoSpaceDE w:val="0"/>
            <w:autoSpaceDN w:val="0"/>
            <w:spacing w:after="0" w:line="240" w:lineRule="auto"/>
            <w:jc w:val="both"/>
            <w:rPr>
              <w:rFonts w:ascii="Times New Roman" w:eastAsia="Calibri" w:hAnsi="Times New Roman" w:cs="Arial"/>
              <w:i/>
              <w:lang w:eastAsia="tr-TR" w:bidi="tr-TR"/>
            </w:rPr>
          </w:pPr>
        </w:p>
      </w:tc>
    </w:tr>
  </w:tbl>
  <w:p w14:paraId="5A023347" w14:textId="3A58F9C3" w:rsidR="00E547B8" w:rsidRPr="00C327B7" w:rsidRDefault="00E547B8" w:rsidP="00CF3C9B">
    <w:pPr>
      <w:pStyle w:val="stBilgi"/>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E2E4D"/>
    <w:multiLevelType w:val="multilevel"/>
    <w:tmpl w:val="F832559E"/>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cs="Times New Roman" w:hint="default"/>
        <w:b w:val="0"/>
        <w:i w:val="0"/>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 w15:restartNumberingAfterBreak="0">
    <w:nsid w:val="177D4807"/>
    <w:multiLevelType w:val="hybridMultilevel"/>
    <w:tmpl w:val="C14286E4"/>
    <w:lvl w:ilvl="0" w:tplc="BE320CCE">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B2A4A30"/>
    <w:multiLevelType w:val="hybridMultilevel"/>
    <w:tmpl w:val="C14286E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E5E360D"/>
    <w:multiLevelType w:val="hybridMultilevel"/>
    <w:tmpl w:val="C14286E4"/>
    <w:lvl w:ilvl="0" w:tplc="BE320CCE">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B855861"/>
    <w:multiLevelType w:val="multilevel"/>
    <w:tmpl w:val="6380B6B8"/>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936"/>
        </w:tabs>
        <w:ind w:left="936" w:hanging="720"/>
      </w:pPr>
      <w:rPr>
        <w:rFonts w:cs="Times New Roman" w:hint="default"/>
      </w:rPr>
    </w:lvl>
    <w:lvl w:ilvl="2">
      <w:start w:val="1"/>
      <w:numFmt w:val="decimal"/>
      <w:lvlText w:val="%3)"/>
      <w:lvlJc w:val="left"/>
      <w:pPr>
        <w:tabs>
          <w:tab w:val="num" w:pos="360"/>
        </w:tabs>
        <w:ind w:left="360" w:hanging="360"/>
      </w:pPr>
      <w:rPr>
        <w:rFonts w:cs="Times New Roman" w:hint="default"/>
      </w:rPr>
    </w:lvl>
    <w:lvl w:ilvl="3">
      <w:start w:val="1"/>
      <w:numFmt w:val="decimal"/>
      <w:lvlText w:val="%1.%2)%3.%4."/>
      <w:lvlJc w:val="left"/>
      <w:pPr>
        <w:tabs>
          <w:tab w:val="num" w:pos="1296"/>
        </w:tabs>
        <w:ind w:left="1296" w:hanging="1080"/>
      </w:pPr>
      <w:rPr>
        <w:rFonts w:cs="Times New Roman" w:hint="default"/>
      </w:rPr>
    </w:lvl>
    <w:lvl w:ilvl="4">
      <w:start w:val="1"/>
      <w:numFmt w:val="decimal"/>
      <w:lvlText w:val="%1.%2)%3.%4.%5."/>
      <w:lvlJc w:val="left"/>
      <w:pPr>
        <w:tabs>
          <w:tab w:val="num" w:pos="1296"/>
        </w:tabs>
        <w:ind w:left="1296" w:hanging="1080"/>
      </w:pPr>
      <w:rPr>
        <w:rFonts w:cs="Times New Roman" w:hint="default"/>
      </w:rPr>
    </w:lvl>
    <w:lvl w:ilvl="5">
      <w:start w:val="1"/>
      <w:numFmt w:val="decimal"/>
      <w:lvlText w:val="%1.%2)%3.%4.%5.%6."/>
      <w:lvlJc w:val="left"/>
      <w:pPr>
        <w:tabs>
          <w:tab w:val="num" w:pos="1656"/>
        </w:tabs>
        <w:ind w:left="1656" w:hanging="1440"/>
      </w:pPr>
      <w:rPr>
        <w:rFonts w:cs="Times New Roman" w:hint="default"/>
      </w:rPr>
    </w:lvl>
    <w:lvl w:ilvl="6">
      <w:start w:val="1"/>
      <w:numFmt w:val="decimal"/>
      <w:lvlText w:val="%1.%2)%3.%4.%5.%6.%7."/>
      <w:lvlJc w:val="left"/>
      <w:pPr>
        <w:tabs>
          <w:tab w:val="num" w:pos="1656"/>
        </w:tabs>
        <w:ind w:left="1656" w:hanging="1440"/>
      </w:pPr>
      <w:rPr>
        <w:rFonts w:cs="Times New Roman" w:hint="default"/>
      </w:rPr>
    </w:lvl>
    <w:lvl w:ilvl="7">
      <w:start w:val="1"/>
      <w:numFmt w:val="decimal"/>
      <w:lvlText w:val="%1.%2)%3.%4.%5.%6.%7.%8."/>
      <w:lvlJc w:val="left"/>
      <w:pPr>
        <w:tabs>
          <w:tab w:val="num" w:pos="2016"/>
        </w:tabs>
        <w:ind w:left="2016" w:hanging="1800"/>
      </w:pPr>
      <w:rPr>
        <w:rFonts w:cs="Times New Roman" w:hint="default"/>
      </w:rPr>
    </w:lvl>
    <w:lvl w:ilvl="8">
      <w:start w:val="1"/>
      <w:numFmt w:val="decimal"/>
      <w:lvlText w:val="%1.%2)%3.%4.%5.%6.%7.%8.%9."/>
      <w:lvlJc w:val="left"/>
      <w:pPr>
        <w:tabs>
          <w:tab w:val="num" w:pos="2016"/>
        </w:tabs>
        <w:ind w:left="2016" w:hanging="1800"/>
      </w:pPr>
      <w:rPr>
        <w:rFonts w:cs="Times New Roman" w:hint="default"/>
      </w:rPr>
    </w:lvl>
  </w:abstractNum>
  <w:abstractNum w:abstractNumId="5" w15:restartNumberingAfterBreak="0">
    <w:nsid w:val="328273D7"/>
    <w:multiLevelType w:val="multilevel"/>
    <w:tmpl w:val="9C8E938C"/>
    <w:numStyleLink w:val="IEEEBullet1"/>
  </w:abstractNum>
  <w:abstractNum w:abstractNumId="6"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hint="default"/>
        <w:sz w:val="16"/>
      </w:rPr>
    </w:lvl>
    <w:lvl w:ilvl="1">
      <w:start w:val="1"/>
      <w:numFmt w:val="bullet"/>
      <w:lvlText w:val=""/>
      <w:lvlJc w:val="left"/>
      <w:pPr>
        <w:tabs>
          <w:tab w:val="num" w:pos="288"/>
        </w:tabs>
        <w:ind w:left="288" w:hanging="288"/>
      </w:pPr>
      <w:rPr>
        <w:rFonts w:ascii="Symbol" w:eastAsia="SimSun" w:hAnsi="Symbol" w:hint="default"/>
        <w:sz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7" w15:restartNumberingAfterBreak="0">
    <w:nsid w:val="50232215"/>
    <w:multiLevelType w:val="multilevel"/>
    <w:tmpl w:val="8C227998"/>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4"/>
        <w:szCs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cs="Times New Roman" w:hint="default"/>
        <w:b w:val="0"/>
        <w:i w:val="0"/>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 w15:restartNumberingAfterBreak="0">
    <w:nsid w:val="5FF744F9"/>
    <w:multiLevelType w:val="hybridMultilevel"/>
    <w:tmpl w:val="C14286E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A7F4B21"/>
    <w:multiLevelType w:val="multilevel"/>
    <w:tmpl w:val="9C62DC70"/>
    <w:lvl w:ilvl="0">
      <w:start w:val="1"/>
      <w:numFmt w:val="decimal"/>
      <w:pStyle w:val="IEEEHeading3"/>
      <w:suff w:val="nothing"/>
      <w:lvlText w:val="%1)  "/>
      <w:lvlJc w:val="left"/>
      <w:rPr>
        <w:rFonts w:cs="Times New Roman" w:hint="default"/>
      </w:rPr>
    </w:lvl>
    <w:lvl w:ilvl="1">
      <w:start w:val="1"/>
      <w:numFmt w:val="decimal"/>
      <w:lvlText w:val="%1.%2)"/>
      <w:lvlJc w:val="left"/>
      <w:pPr>
        <w:tabs>
          <w:tab w:val="num" w:pos="936"/>
        </w:tabs>
        <w:ind w:left="936" w:hanging="720"/>
      </w:pPr>
      <w:rPr>
        <w:rFonts w:cs="Times New Roman" w:hint="default"/>
      </w:rPr>
    </w:lvl>
    <w:lvl w:ilvl="2">
      <w:start w:val="1"/>
      <w:numFmt w:val="decimal"/>
      <w:lvlText w:val="%1.%2)%3."/>
      <w:lvlJc w:val="left"/>
      <w:pPr>
        <w:tabs>
          <w:tab w:val="num" w:pos="936"/>
        </w:tabs>
        <w:ind w:left="936" w:hanging="720"/>
      </w:pPr>
      <w:rPr>
        <w:rFonts w:cs="Times New Roman" w:hint="default"/>
      </w:rPr>
    </w:lvl>
    <w:lvl w:ilvl="3">
      <w:start w:val="1"/>
      <w:numFmt w:val="decimal"/>
      <w:lvlText w:val="%1.%2)%3.%4."/>
      <w:lvlJc w:val="left"/>
      <w:pPr>
        <w:tabs>
          <w:tab w:val="num" w:pos="1296"/>
        </w:tabs>
        <w:ind w:left="1296" w:hanging="1080"/>
      </w:pPr>
      <w:rPr>
        <w:rFonts w:cs="Times New Roman" w:hint="default"/>
      </w:rPr>
    </w:lvl>
    <w:lvl w:ilvl="4">
      <w:start w:val="1"/>
      <w:numFmt w:val="decimal"/>
      <w:lvlText w:val="%1.%2)%3.%4.%5."/>
      <w:lvlJc w:val="left"/>
      <w:pPr>
        <w:tabs>
          <w:tab w:val="num" w:pos="1296"/>
        </w:tabs>
        <w:ind w:left="1296" w:hanging="1080"/>
      </w:pPr>
      <w:rPr>
        <w:rFonts w:cs="Times New Roman" w:hint="default"/>
      </w:rPr>
    </w:lvl>
    <w:lvl w:ilvl="5">
      <w:start w:val="1"/>
      <w:numFmt w:val="decimal"/>
      <w:lvlText w:val="%1.%2)%3.%4.%5.%6."/>
      <w:lvlJc w:val="left"/>
      <w:pPr>
        <w:tabs>
          <w:tab w:val="num" w:pos="1656"/>
        </w:tabs>
        <w:ind w:left="1656" w:hanging="1440"/>
      </w:pPr>
      <w:rPr>
        <w:rFonts w:cs="Times New Roman" w:hint="default"/>
      </w:rPr>
    </w:lvl>
    <w:lvl w:ilvl="6">
      <w:start w:val="1"/>
      <w:numFmt w:val="decimal"/>
      <w:lvlText w:val="%1.%2)%3.%4.%5.%6.%7."/>
      <w:lvlJc w:val="left"/>
      <w:pPr>
        <w:tabs>
          <w:tab w:val="num" w:pos="1656"/>
        </w:tabs>
        <w:ind w:left="1656" w:hanging="1440"/>
      </w:pPr>
      <w:rPr>
        <w:rFonts w:cs="Times New Roman" w:hint="default"/>
      </w:rPr>
    </w:lvl>
    <w:lvl w:ilvl="7">
      <w:start w:val="1"/>
      <w:numFmt w:val="decimal"/>
      <w:lvlText w:val="%1.%2)%3.%4.%5.%6.%7.%8."/>
      <w:lvlJc w:val="left"/>
      <w:pPr>
        <w:tabs>
          <w:tab w:val="num" w:pos="2016"/>
        </w:tabs>
        <w:ind w:left="2016" w:hanging="1800"/>
      </w:pPr>
      <w:rPr>
        <w:rFonts w:cs="Times New Roman" w:hint="default"/>
      </w:rPr>
    </w:lvl>
    <w:lvl w:ilvl="8">
      <w:start w:val="1"/>
      <w:numFmt w:val="decimal"/>
      <w:lvlText w:val="%1.%2)%3.%4.%5.%6.%7.%8.%9."/>
      <w:lvlJc w:val="left"/>
      <w:pPr>
        <w:tabs>
          <w:tab w:val="num" w:pos="2016"/>
        </w:tabs>
        <w:ind w:left="2016" w:hanging="1800"/>
      </w:pPr>
      <w:rPr>
        <w:rFonts w:cs="Times New Roman" w:hint="default"/>
      </w:rPr>
    </w:lvl>
  </w:abstractNum>
  <w:abstractNum w:abstractNumId="10" w15:restartNumberingAfterBreak="0">
    <w:nsid w:val="71837A52"/>
    <w:multiLevelType w:val="hybridMultilevel"/>
    <w:tmpl w:val="C14286E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03455804">
    <w:abstractNumId w:val="0"/>
  </w:num>
  <w:num w:numId="2" w16cid:durableId="905797591">
    <w:abstractNumId w:val="7"/>
  </w:num>
  <w:num w:numId="3" w16cid:durableId="16601094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77799854">
    <w:abstractNumId w:val="6"/>
  </w:num>
  <w:num w:numId="5" w16cid:durableId="402069284">
    <w:abstractNumId w:val="5"/>
  </w:num>
  <w:num w:numId="6" w16cid:durableId="1443956119">
    <w:abstractNumId w:val="9"/>
  </w:num>
  <w:num w:numId="7" w16cid:durableId="1332875390">
    <w:abstractNumId w:val="4"/>
  </w:num>
  <w:num w:numId="8" w16cid:durableId="1638297425">
    <w:abstractNumId w:val="7"/>
  </w:num>
  <w:num w:numId="9" w16cid:durableId="1063212453">
    <w:abstractNumId w:val="3"/>
  </w:num>
  <w:num w:numId="10" w16cid:durableId="1566842696">
    <w:abstractNumId w:val="1"/>
  </w:num>
  <w:num w:numId="11" w16cid:durableId="1900360880">
    <w:abstractNumId w:val="8"/>
  </w:num>
  <w:num w:numId="12" w16cid:durableId="2120028362">
    <w:abstractNumId w:val="2"/>
  </w:num>
  <w:num w:numId="13" w16cid:durableId="1534921443">
    <w:abstractNumId w:val="10"/>
  </w:num>
  <w:num w:numId="14" w16cid:durableId="86318778">
    <w:abstractNumId w:val="7"/>
  </w:num>
  <w:num w:numId="15" w16cid:durableId="31537800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152814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09rref955pwziett20vds0merwawtxseszv&quot;&gt;Dual_band&lt;record-ids&gt;&lt;item&gt;1&lt;/item&gt;&lt;item&gt;2&lt;/item&gt;&lt;item&gt;3&lt;/item&gt;&lt;item&gt;4&lt;/item&gt;&lt;item&gt;5&lt;/item&gt;&lt;item&gt;6&lt;/item&gt;&lt;item&gt;7&lt;/item&gt;&lt;item&gt;8&lt;/item&gt;&lt;item&gt;9&lt;/item&gt;&lt;item&gt;10&lt;/item&gt;&lt;item&gt;11&lt;/item&gt;&lt;item&gt;13&lt;/item&gt;&lt;/record-ids&gt;&lt;/item&gt;&lt;/Libraries&gt;"/>
  </w:docVars>
  <w:rsids>
    <w:rsidRoot w:val="00B80B2C"/>
    <w:rsid w:val="00025F0D"/>
    <w:rsid w:val="00057DD0"/>
    <w:rsid w:val="00066CD4"/>
    <w:rsid w:val="00082D8F"/>
    <w:rsid w:val="00083C0A"/>
    <w:rsid w:val="00093B1D"/>
    <w:rsid w:val="000C21CF"/>
    <w:rsid w:val="000C3D46"/>
    <w:rsid w:val="000D5AB5"/>
    <w:rsid w:val="000F06DC"/>
    <w:rsid w:val="000F6F3B"/>
    <w:rsid w:val="0010677C"/>
    <w:rsid w:val="001450D1"/>
    <w:rsid w:val="00183955"/>
    <w:rsid w:val="00191C50"/>
    <w:rsid w:val="001A095E"/>
    <w:rsid w:val="001B004A"/>
    <w:rsid w:val="001B433D"/>
    <w:rsid w:val="001E4AAA"/>
    <w:rsid w:val="002059DD"/>
    <w:rsid w:val="002077F6"/>
    <w:rsid w:val="00212D0B"/>
    <w:rsid w:val="00231378"/>
    <w:rsid w:val="00245C19"/>
    <w:rsid w:val="0026288C"/>
    <w:rsid w:val="00280ACB"/>
    <w:rsid w:val="002A5DBA"/>
    <w:rsid w:val="002B5007"/>
    <w:rsid w:val="002E3EB5"/>
    <w:rsid w:val="00311542"/>
    <w:rsid w:val="003254E8"/>
    <w:rsid w:val="00377D37"/>
    <w:rsid w:val="00396757"/>
    <w:rsid w:val="003A21AF"/>
    <w:rsid w:val="003B5F3B"/>
    <w:rsid w:val="003C1152"/>
    <w:rsid w:val="003D6F25"/>
    <w:rsid w:val="003F72D0"/>
    <w:rsid w:val="004146BB"/>
    <w:rsid w:val="00463E96"/>
    <w:rsid w:val="004676E0"/>
    <w:rsid w:val="004C090F"/>
    <w:rsid w:val="004E4629"/>
    <w:rsid w:val="00504FA6"/>
    <w:rsid w:val="005075A7"/>
    <w:rsid w:val="00512307"/>
    <w:rsid w:val="00512450"/>
    <w:rsid w:val="00532DF3"/>
    <w:rsid w:val="00553F51"/>
    <w:rsid w:val="00590211"/>
    <w:rsid w:val="005C01F4"/>
    <w:rsid w:val="005D251A"/>
    <w:rsid w:val="00625311"/>
    <w:rsid w:val="00630349"/>
    <w:rsid w:val="00632AB1"/>
    <w:rsid w:val="00633CB2"/>
    <w:rsid w:val="0064107E"/>
    <w:rsid w:val="00645B43"/>
    <w:rsid w:val="006811E1"/>
    <w:rsid w:val="00681AE1"/>
    <w:rsid w:val="006912C7"/>
    <w:rsid w:val="00697CCE"/>
    <w:rsid w:val="006F2A27"/>
    <w:rsid w:val="00706FD7"/>
    <w:rsid w:val="00724D79"/>
    <w:rsid w:val="00731550"/>
    <w:rsid w:val="00760410"/>
    <w:rsid w:val="007639F7"/>
    <w:rsid w:val="00773B39"/>
    <w:rsid w:val="00787FF7"/>
    <w:rsid w:val="00790179"/>
    <w:rsid w:val="00791027"/>
    <w:rsid w:val="00796223"/>
    <w:rsid w:val="007A1008"/>
    <w:rsid w:val="007A41F8"/>
    <w:rsid w:val="007D1C7F"/>
    <w:rsid w:val="007F7949"/>
    <w:rsid w:val="00817984"/>
    <w:rsid w:val="008250C1"/>
    <w:rsid w:val="0082589C"/>
    <w:rsid w:val="00834D82"/>
    <w:rsid w:val="008734F4"/>
    <w:rsid w:val="00876773"/>
    <w:rsid w:val="00882297"/>
    <w:rsid w:val="00885A2D"/>
    <w:rsid w:val="00890C6E"/>
    <w:rsid w:val="008A36DC"/>
    <w:rsid w:val="008D18EF"/>
    <w:rsid w:val="008D1A29"/>
    <w:rsid w:val="008D1C18"/>
    <w:rsid w:val="008D3397"/>
    <w:rsid w:val="00906B72"/>
    <w:rsid w:val="00935B85"/>
    <w:rsid w:val="009509DE"/>
    <w:rsid w:val="00964DFD"/>
    <w:rsid w:val="0097331D"/>
    <w:rsid w:val="00985AA4"/>
    <w:rsid w:val="0099722C"/>
    <w:rsid w:val="009A38FD"/>
    <w:rsid w:val="009A6C9E"/>
    <w:rsid w:val="009C0A65"/>
    <w:rsid w:val="009C1E89"/>
    <w:rsid w:val="009D7960"/>
    <w:rsid w:val="009F154B"/>
    <w:rsid w:val="009F5E04"/>
    <w:rsid w:val="00A279BD"/>
    <w:rsid w:val="00A30254"/>
    <w:rsid w:val="00A443BC"/>
    <w:rsid w:val="00A53D28"/>
    <w:rsid w:val="00A60AFC"/>
    <w:rsid w:val="00A66897"/>
    <w:rsid w:val="00A839A7"/>
    <w:rsid w:val="00A978C2"/>
    <w:rsid w:val="00AB2F38"/>
    <w:rsid w:val="00B14DD1"/>
    <w:rsid w:val="00B46D6A"/>
    <w:rsid w:val="00B64C77"/>
    <w:rsid w:val="00B757B4"/>
    <w:rsid w:val="00B80B2C"/>
    <w:rsid w:val="00B91A01"/>
    <w:rsid w:val="00BA7F01"/>
    <w:rsid w:val="00BB17CB"/>
    <w:rsid w:val="00BB7FF5"/>
    <w:rsid w:val="00BD78EF"/>
    <w:rsid w:val="00C00257"/>
    <w:rsid w:val="00C327B7"/>
    <w:rsid w:val="00C41456"/>
    <w:rsid w:val="00C60D72"/>
    <w:rsid w:val="00C66488"/>
    <w:rsid w:val="00C676BD"/>
    <w:rsid w:val="00CA5E8A"/>
    <w:rsid w:val="00CC156A"/>
    <w:rsid w:val="00CC3726"/>
    <w:rsid w:val="00CF3C9B"/>
    <w:rsid w:val="00D06413"/>
    <w:rsid w:val="00D22C18"/>
    <w:rsid w:val="00D252B3"/>
    <w:rsid w:val="00D311EE"/>
    <w:rsid w:val="00D46766"/>
    <w:rsid w:val="00DA1C6B"/>
    <w:rsid w:val="00DA412C"/>
    <w:rsid w:val="00DD272F"/>
    <w:rsid w:val="00DD7794"/>
    <w:rsid w:val="00DE0FD5"/>
    <w:rsid w:val="00E03D4C"/>
    <w:rsid w:val="00E0542D"/>
    <w:rsid w:val="00E547B8"/>
    <w:rsid w:val="00E71235"/>
    <w:rsid w:val="00E72C99"/>
    <w:rsid w:val="00E77A5C"/>
    <w:rsid w:val="00EE7935"/>
    <w:rsid w:val="00F639DA"/>
    <w:rsid w:val="00F80C77"/>
    <w:rsid w:val="00F8153D"/>
    <w:rsid w:val="00F83CDD"/>
    <w:rsid w:val="00FD6C0E"/>
    <w:rsid w:val="00FE764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5C5ABB"/>
  <w15:docId w15:val="{B0CC65F5-C01D-4EAA-989A-677375E07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3">
    <w:name w:val="heading 3"/>
    <w:basedOn w:val="Normal"/>
    <w:next w:val="Normal"/>
    <w:link w:val="Balk3Char"/>
    <w:uiPriority w:val="99"/>
    <w:qFormat/>
    <w:rsid w:val="004C090F"/>
    <w:pPr>
      <w:keepNext/>
      <w:spacing w:before="240" w:after="60" w:line="240" w:lineRule="auto"/>
      <w:outlineLvl w:val="2"/>
    </w:pPr>
    <w:rPr>
      <w:rFonts w:ascii="Arial" w:eastAsia="SimSun" w:hAnsi="Arial" w:cs="Arial"/>
      <w:b/>
      <w:bCs/>
      <w:sz w:val="26"/>
      <w:szCs w:val="26"/>
      <w:lang w:val="en-AU" w:eastAsia="zh-C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B80B2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80B2C"/>
  </w:style>
  <w:style w:type="paragraph" w:styleId="AltBilgi">
    <w:name w:val="footer"/>
    <w:basedOn w:val="Normal"/>
    <w:link w:val="AltBilgiChar"/>
    <w:uiPriority w:val="99"/>
    <w:unhideWhenUsed/>
    <w:rsid w:val="00B80B2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80B2C"/>
  </w:style>
  <w:style w:type="paragraph" w:styleId="ListeParagraf">
    <w:name w:val="List Paragraph"/>
    <w:basedOn w:val="Normal"/>
    <w:uiPriority w:val="34"/>
    <w:qFormat/>
    <w:rsid w:val="00B80B2C"/>
    <w:pPr>
      <w:ind w:left="720"/>
      <w:contextualSpacing/>
    </w:pPr>
  </w:style>
  <w:style w:type="character" w:customStyle="1" w:styleId="italic">
    <w:name w:val="italic"/>
    <w:basedOn w:val="VarsaylanParagrafYazTipi"/>
    <w:uiPriority w:val="99"/>
    <w:rsid w:val="00B80B2C"/>
    <w:rPr>
      <w:rFonts w:cs="Times New Roman"/>
    </w:rPr>
  </w:style>
  <w:style w:type="character" w:customStyle="1" w:styleId="apple-converted-space">
    <w:name w:val="apple-converted-space"/>
    <w:basedOn w:val="VarsaylanParagrafYazTipi"/>
    <w:uiPriority w:val="99"/>
    <w:rsid w:val="00B80B2C"/>
    <w:rPr>
      <w:rFonts w:cs="Times New Roman"/>
    </w:rPr>
  </w:style>
  <w:style w:type="paragraph" w:styleId="NormalWeb">
    <w:name w:val="Normal (Web)"/>
    <w:basedOn w:val="Normal"/>
    <w:uiPriority w:val="99"/>
    <w:rsid w:val="00B80B2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99"/>
    <w:qFormat/>
    <w:rsid w:val="00B80B2C"/>
    <w:rPr>
      <w:rFonts w:cs="Times New Roman"/>
      <w:b/>
      <w:bCs/>
    </w:rPr>
  </w:style>
  <w:style w:type="paragraph" w:customStyle="1" w:styleId="IEEEParagraph">
    <w:name w:val="IEEE Paragraph"/>
    <w:basedOn w:val="Normal"/>
    <w:link w:val="IEEEParagraphChar"/>
    <w:uiPriority w:val="99"/>
    <w:rsid w:val="007F7949"/>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paragraph" w:customStyle="1" w:styleId="IEEEHeading1">
    <w:name w:val="IEEE Heading 1"/>
    <w:basedOn w:val="Normal"/>
    <w:next w:val="IEEEParagraph"/>
    <w:uiPriority w:val="99"/>
    <w:rsid w:val="007F7949"/>
    <w:pPr>
      <w:numPr>
        <w:numId w:val="1"/>
      </w:numPr>
      <w:adjustRightInd w:val="0"/>
      <w:snapToGrid w:val="0"/>
      <w:spacing w:before="180" w:after="60" w:line="240" w:lineRule="auto"/>
      <w:ind w:left="289" w:hanging="289"/>
      <w:jc w:val="center"/>
    </w:pPr>
    <w:rPr>
      <w:rFonts w:ascii="Times New Roman" w:eastAsia="SimSun" w:hAnsi="Times New Roman" w:cs="Times New Roman"/>
      <w:smallCaps/>
      <w:sz w:val="20"/>
      <w:szCs w:val="24"/>
      <w:lang w:val="en-AU" w:eastAsia="zh-CN"/>
    </w:rPr>
  </w:style>
  <w:style w:type="character" w:customStyle="1" w:styleId="IEEEParagraphChar">
    <w:name w:val="IEEE Paragraph Char"/>
    <w:basedOn w:val="VarsaylanParagrafYazTipi"/>
    <w:link w:val="IEEEParagraph"/>
    <w:uiPriority w:val="99"/>
    <w:locked/>
    <w:rsid w:val="007F7949"/>
    <w:rPr>
      <w:rFonts w:ascii="Times New Roman" w:eastAsia="SimSun" w:hAnsi="Times New Roman" w:cs="Times New Roman"/>
      <w:sz w:val="20"/>
      <w:szCs w:val="24"/>
      <w:lang w:val="en-AU" w:eastAsia="zh-CN"/>
    </w:rPr>
  </w:style>
  <w:style w:type="character" w:styleId="Kpr">
    <w:name w:val="Hyperlink"/>
    <w:basedOn w:val="VarsaylanParagrafYazTipi"/>
    <w:uiPriority w:val="99"/>
    <w:unhideWhenUsed/>
    <w:rsid w:val="007F7949"/>
    <w:rPr>
      <w:color w:val="0563C1" w:themeColor="hyperlink"/>
      <w:u w:val="single"/>
    </w:rPr>
  </w:style>
  <w:style w:type="paragraph" w:customStyle="1" w:styleId="IEEEHeading2">
    <w:name w:val="IEEE Heading 2"/>
    <w:basedOn w:val="Normal"/>
    <w:next w:val="IEEEParagraph"/>
    <w:uiPriority w:val="99"/>
    <w:rsid w:val="007F7949"/>
    <w:pPr>
      <w:numPr>
        <w:numId w:val="2"/>
      </w:numPr>
      <w:adjustRightInd w:val="0"/>
      <w:snapToGrid w:val="0"/>
      <w:spacing w:before="150" w:after="60" w:line="240" w:lineRule="auto"/>
    </w:pPr>
    <w:rPr>
      <w:rFonts w:ascii="Times New Roman" w:eastAsia="SimSun" w:hAnsi="Times New Roman" w:cs="Times New Roman"/>
      <w:i/>
      <w:sz w:val="20"/>
      <w:szCs w:val="24"/>
      <w:lang w:val="en-AU" w:eastAsia="zh-CN"/>
    </w:rPr>
  </w:style>
  <w:style w:type="numbering" w:customStyle="1" w:styleId="IEEEBullet1">
    <w:name w:val="IEEE Bullet 1"/>
    <w:rsid w:val="007F7949"/>
    <w:pPr>
      <w:numPr>
        <w:numId w:val="4"/>
      </w:numPr>
    </w:pPr>
  </w:style>
  <w:style w:type="paragraph" w:customStyle="1" w:styleId="IEEETableCaption">
    <w:name w:val="IEEE Table Caption"/>
    <w:basedOn w:val="Normal"/>
    <w:next w:val="IEEEParagraph"/>
    <w:uiPriority w:val="99"/>
    <w:rsid w:val="00790179"/>
    <w:pPr>
      <w:spacing w:before="120" w:after="120" w:line="240" w:lineRule="auto"/>
      <w:jc w:val="center"/>
    </w:pPr>
    <w:rPr>
      <w:rFonts w:ascii="Times New Roman" w:eastAsia="SimSun" w:hAnsi="Times New Roman" w:cs="Times New Roman"/>
      <w:smallCaps/>
      <w:sz w:val="16"/>
      <w:szCs w:val="24"/>
      <w:lang w:val="en-AU" w:eastAsia="zh-CN"/>
    </w:rPr>
  </w:style>
  <w:style w:type="character" w:customStyle="1" w:styleId="Balk3Char">
    <w:name w:val="Başlık 3 Char"/>
    <w:basedOn w:val="VarsaylanParagrafYazTipi"/>
    <w:link w:val="Balk3"/>
    <w:uiPriority w:val="99"/>
    <w:rsid w:val="004C090F"/>
    <w:rPr>
      <w:rFonts w:ascii="Arial" w:eastAsia="SimSun" w:hAnsi="Arial" w:cs="Arial"/>
      <w:b/>
      <w:bCs/>
      <w:sz w:val="26"/>
      <w:szCs w:val="26"/>
      <w:lang w:val="en-AU" w:eastAsia="zh-CN"/>
    </w:rPr>
  </w:style>
  <w:style w:type="paragraph" w:customStyle="1" w:styleId="IEEEHeading3">
    <w:name w:val="IEEE Heading 3"/>
    <w:basedOn w:val="Normal"/>
    <w:next w:val="IEEEParagraph"/>
    <w:link w:val="IEEEHeading3Char"/>
    <w:uiPriority w:val="99"/>
    <w:rsid w:val="004C090F"/>
    <w:pPr>
      <w:numPr>
        <w:numId w:val="6"/>
      </w:numPr>
      <w:adjustRightInd w:val="0"/>
      <w:snapToGrid w:val="0"/>
      <w:spacing w:before="120" w:after="60" w:line="240" w:lineRule="auto"/>
      <w:ind w:firstLine="216"/>
      <w:jc w:val="both"/>
    </w:pPr>
    <w:rPr>
      <w:rFonts w:ascii="Times New Roman" w:eastAsia="SimSun" w:hAnsi="Times New Roman" w:cs="Times New Roman"/>
      <w:i/>
      <w:sz w:val="20"/>
      <w:szCs w:val="24"/>
      <w:lang w:val="en-AU" w:eastAsia="zh-CN"/>
    </w:rPr>
  </w:style>
  <w:style w:type="paragraph" w:customStyle="1" w:styleId="IEEEFigureCaptionSingle-Line">
    <w:name w:val="IEEE Figure Caption Single-Line"/>
    <w:basedOn w:val="IEEETableCaption"/>
    <w:next w:val="IEEEParagraph"/>
    <w:uiPriority w:val="99"/>
    <w:rsid w:val="004C090F"/>
    <w:rPr>
      <w:smallCaps w:val="0"/>
    </w:rPr>
  </w:style>
  <w:style w:type="character" w:customStyle="1" w:styleId="IEEEHeading3Char">
    <w:name w:val="IEEE Heading 3 Char"/>
    <w:basedOn w:val="VarsaylanParagrafYazTipi"/>
    <w:link w:val="IEEEHeading3"/>
    <w:uiPriority w:val="99"/>
    <w:locked/>
    <w:rsid w:val="004C090F"/>
    <w:rPr>
      <w:rFonts w:ascii="Times New Roman" w:eastAsia="SimSun" w:hAnsi="Times New Roman" w:cs="Times New Roman"/>
      <w:i/>
      <w:sz w:val="20"/>
      <w:szCs w:val="24"/>
      <w:lang w:val="en-AU" w:eastAsia="zh-CN"/>
    </w:rPr>
  </w:style>
  <w:style w:type="paragraph" w:customStyle="1" w:styleId="IEEEFigure">
    <w:name w:val="IEEE Figure"/>
    <w:basedOn w:val="Normal"/>
    <w:next w:val="IEEEFigureCaptionSingle-Line"/>
    <w:uiPriority w:val="99"/>
    <w:rsid w:val="004C090F"/>
    <w:pPr>
      <w:spacing w:after="0" w:line="240" w:lineRule="auto"/>
      <w:jc w:val="center"/>
    </w:pPr>
    <w:rPr>
      <w:rFonts w:ascii="Times New Roman" w:eastAsia="SimSun" w:hAnsi="Times New Roman" w:cs="Times New Roman"/>
      <w:sz w:val="24"/>
      <w:szCs w:val="24"/>
      <w:lang w:val="en-AU" w:eastAsia="zh-CN"/>
    </w:rPr>
  </w:style>
  <w:style w:type="paragraph" w:customStyle="1" w:styleId="IEEEReferenceItem">
    <w:name w:val="IEEE Reference Item"/>
    <w:basedOn w:val="Normal"/>
    <w:uiPriority w:val="99"/>
    <w:rsid w:val="004C090F"/>
    <w:pPr>
      <w:adjustRightInd w:val="0"/>
      <w:snapToGrid w:val="0"/>
      <w:spacing w:after="0" w:line="240" w:lineRule="auto"/>
      <w:jc w:val="both"/>
    </w:pPr>
    <w:rPr>
      <w:rFonts w:ascii="Times New Roman" w:eastAsia="SimSun" w:hAnsi="Times New Roman" w:cs="Times New Roman"/>
      <w:sz w:val="16"/>
      <w:szCs w:val="24"/>
      <w:lang w:val="en-US" w:eastAsia="zh-CN"/>
    </w:rPr>
  </w:style>
  <w:style w:type="paragraph" w:customStyle="1" w:styleId="IEEEFigureCaptionMulti-Lines">
    <w:name w:val="IEEE Figure Caption Multi-Lines"/>
    <w:basedOn w:val="IEEEFigureCaptionSingle-Line"/>
    <w:next w:val="IEEEParagraph"/>
    <w:uiPriority w:val="99"/>
    <w:rsid w:val="004C090F"/>
    <w:pPr>
      <w:jc w:val="both"/>
    </w:pPr>
  </w:style>
  <w:style w:type="table" w:styleId="TabloKlavuzu">
    <w:name w:val="Table Grid"/>
    <w:basedOn w:val="NormalTablo"/>
    <w:uiPriority w:val="39"/>
    <w:rsid w:val="009509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1450D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450D1"/>
    <w:rPr>
      <w:rFonts w:ascii="Tahoma" w:hAnsi="Tahoma" w:cs="Tahoma"/>
      <w:sz w:val="16"/>
      <w:szCs w:val="16"/>
    </w:rPr>
  </w:style>
  <w:style w:type="table" w:customStyle="1" w:styleId="TableNormal">
    <w:name w:val="Table Normal"/>
    <w:uiPriority w:val="2"/>
    <w:semiHidden/>
    <w:unhideWhenUsed/>
    <w:qFormat/>
    <w:rsid w:val="001450D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450D1"/>
    <w:pPr>
      <w:widowControl w:val="0"/>
      <w:autoSpaceDE w:val="0"/>
      <w:autoSpaceDN w:val="0"/>
      <w:spacing w:before="2" w:after="0" w:line="240" w:lineRule="auto"/>
      <w:ind w:left="173" w:hanging="142"/>
    </w:pPr>
    <w:rPr>
      <w:rFonts w:ascii="Verdana" w:eastAsia="Verdana" w:hAnsi="Verdana" w:cs="Verdana"/>
      <w:lang w:eastAsia="tr-TR" w:bidi="tr-TR"/>
    </w:rPr>
  </w:style>
  <w:style w:type="character" w:customStyle="1" w:styleId="zmlenmeyenBahsetme1">
    <w:name w:val="Çözümlenmeyen Bahsetme1"/>
    <w:basedOn w:val="VarsaylanParagrafYazTipi"/>
    <w:uiPriority w:val="99"/>
    <w:semiHidden/>
    <w:unhideWhenUsed/>
    <w:rsid w:val="00057DD0"/>
    <w:rPr>
      <w:color w:val="605E5C"/>
      <w:shd w:val="clear" w:color="auto" w:fill="E1DFDD"/>
    </w:rPr>
  </w:style>
  <w:style w:type="table" w:customStyle="1" w:styleId="TabloKlavuzu1">
    <w:name w:val="Tablo Kılavuzu1"/>
    <w:basedOn w:val="NormalTablo"/>
    <w:next w:val="TabloKlavuzu"/>
    <w:uiPriority w:val="39"/>
    <w:rsid w:val="00F8153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C676BD"/>
    <w:pPr>
      <w:spacing w:after="0"/>
      <w:jc w:val="center"/>
    </w:pPr>
    <w:rPr>
      <w:rFonts w:ascii="Calibri" w:hAnsi="Calibri" w:cs="Calibri"/>
      <w:noProof/>
      <w:lang w:val="en-US"/>
    </w:rPr>
  </w:style>
  <w:style w:type="character" w:customStyle="1" w:styleId="EndNoteBibliographyTitleChar">
    <w:name w:val="EndNote Bibliography Title Char"/>
    <w:basedOn w:val="IEEEParagraphChar"/>
    <w:link w:val="EndNoteBibliographyTitle"/>
    <w:rsid w:val="00C676BD"/>
    <w:rPr>
      <w:rFonts w:ascii="Calibri" w:eastAsia="SimSun" w:hAnsi="Calibri" w:cs="Calibri"/>
      <w:noProof/>
      <w:sz w:val="20"/>
      <w:szCs w:val="24"/>
      <w:lang w:val="en-US" w:eastAsia="zh-CN"/>
    </w:rPr>
  </w:style>
  <w:style w:type="paragraph" w:customStyle="1" w:styleId="EndNoteBibliography">
    <w:name w:val="EndNote Bibliography"/>
    <w:basedOn w:val="Normal"/>
    <w:link w:val="EndNoteBibliographyChar"/>
    <w:rsid w:val="00C676BD"/>
    <w:pPr>
      <w:spacing w:line="240" w:lineRule="auto"/>
    </w:pPr>
    <w:rPr>
      <w:rFonts w:ascii="Calibri" w:hAnsi="Calibri" w:cs="Calibri"/>
      <w:noProof/>
      <w:lang w:val="en-US"/>
    </w:rPr>
  </w:style>
  <w:style w:type="character" w:customStyle="1" w:styleId="EndNoteBibliographyChar">
    <w:name w:val="EndNote Bibliography Char"/>
    <w:basedOn w:val="IEEEParagraphChar"/>
    <w:link w:val="EndNoteBibliography"/>
    <w:rsid w:val="00C676BD"/>
    <w:rPr>
      <w:rFonts w:ascii="Calibri" w:eastAsia="SimSun" w:hAnsi="Calibri" w:cs="Calibri"/>
      <w:noProof/>
      <w:sz w:val="20"/>
      <w:szCs w:val="24"/>
      <w:lang w:val="en-US" w:eastAsia="zh-CN"/>
    </w:rPr>
  </w:style>
  <w:style w:type="character" w:styleId="YerTutucuMetni">
    <w:name w:val="Placeholder Text"/>
    <w:basedOn w:val="VarsaylanParagrafYazTipi"/>
    <w:uiPriority w:val="99"/>
    <w:semiHidden/>
    <w:rsid w:val="002059DD"/>
    <w:rPr>
      <w:color w:val="808080"/>
    </w:rPr>
  </w:style>
  <w:style w:type="character" w:customStyle="1" w:styleId="mord">
    <w:name w:val="mord"/>
    <w:basedOn w:val="VarsaylanParagrafYazTipi"/>
    <w:rsid w:val="00C002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1686843">
      <w:bodyDiv w:val="1"/>
      <w:marLeft w:val="0"/>
      <w:marRight w:val="0"/>
      <w:marTop w:val="0"/>
      <w:marBottom w:val="0"/>
      <w:divBdr>
        <w:top w:val="none" w:sz="0" w:space="0" w:color="auto"/>
        <w:left w:val="none" w:sz="0" w:space="0" w:color="auto"/>
        <w:bottom w:val="none" w:sz="0" w:space="0" w:color="auto"/>
        <w:right w:val="none" w:sz="0" w:space="0" w:color="auto"/>
      </w:divBdr>
    </w:div>
    <w:div w:id="1397976887">
      <w:bodyDiv w:val="1"/>
      <w:marLeft w:val="0"/>
      <w:marRight w:val="0"/>
      <w:marTop w:val="0"/>
      <w:marBottom w:val="0"/>
      <w:divBdr>
        <w:top w:val="none" w:sz="0" w:space="0" w:color="auto"/>
        <w:left w:val="none" w:sz="0" w:space="0" w:color="auto"/>
        <w:bottom w:val="none" w:sz="0" w:space="0" w:color="auto"/>
        <w:right w:val="none" w:sz="0" w:space="0" w:color="auto"/>
      </w:divBdr>
    </w:div>
    <w:div w:id="1529954219">
      <w:bodyDiv w:val="1"/>
      <w:marLeft w:val="0"/>
      <w:marRight w:val="0"/>
      <w:marTop w:val="0"/>
      <w:marBottom w:val="0"/>
      <w:divBdr>
        <w:top w:val="none" w:sz="0" w:space="0" w:color="auto"/>
        <w:left w:val="none" w:sz="0" w:space="0" w:color="auto"/>
        <w:bottom w:val="none" w:sz="0" w:space="0" w:color="auto"/>
        <w:right w:val="none" w:sz="0" w:space="0" w:color="auto"/>
      </w:divBdr>
    </w:div>
    <w:div w:id="1979602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TIF"/><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hyperlink" Target="https://as-proceeding.com/index.php/ijanser" TargetMode="External"/><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8</Pages>
  <Words>4517</Words>
  <Characters>25747</Characters>
  <Application>Microsoft Office Word</Application>
  <DocSecurity>0</DocSecurity>
  <Lines>214</Lines>
  <Paragraphs>60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TuRGuT</dc:creator>
  <cp:lastModifiedBy>ESRA ERGİN</cp:lastModifiedBy>
  <cp:revision>13</cp:revision>
  <cp:lastPrinted>2024-12-17T12:46:00Z</cp:lastPrinted>
  <dcterms:created xsi:type="dcterms:W3CDTF">2024-12-11T11:40:00Z</dcterms:created>
  <dcterms:modified xsi:type="dcterms:W3CDTF">2024-12-17T12:47:00Z</dcterms:modified>
</cp:coreProperties>
</file>